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4C67A" w14:textId="77777777" w:rsidR="00C93A8E" w:rsidRDefault="00C93A8E" w:rsidP="00CB5AB4">
      <w:pPr>
        <w:tabs>
          <w:tab w:val="left" w:pos="-6379"/>
          <w:tab w:val="left" w:pos="-5387"/>
          <w:tab w:val="left" w:pos="720"/>
          <w:tab w:val="left" w:pos="1440"/>
          <w:tab w:val="left" w:pos="2160"/>
          <w:tab w:val="left" w:pos="2880"/>
          <w:tab w:val="left" w:pos="3600"/>
          <w:tab w:val="left" w:pos="4320"/>
        </w:tabs>
        <w:autoSpaceDE w:val="0"/>
        <w:autoSpaceDN w:val="0"/>
        <w:adjustRightInd w:val="0"/>
        <w:spacing w:after="0"/>
        <w:ind w:left="-567"/>
        <w:rPr>
          <w:rFonts w:ascii="Petrobras Sans" w:hAnsi="Petrobras Sans"/>
          <w:b/>
          <w:i/>
          <w:sz w:val="36"/>
        </w:rPr>
      </w:pPr>
    </w:p>
    <w:p w14:paraId="6EEA3D0C" w14:textId="54466094" w:rsidR="0025265F" w:rsidRDefault="0025265F" w:rsidP="00CB5AB4">
      <w:pPr>
        <w:tabs>
          <w:tab w:val="left" w:pos="-6379"/>
          <w:tab w:val="left" w:pos="-5387"/>
          <w:tab w:val="left" w:pos="720"/>
          <w:tab w:val="left" w:pos="1440"/>
          <w:tab w:val="left" w:pos="2160"/>
          <w:tab w:val="left" w:pos="2880"/>
          <w:tab w:val="left" w:pos="3600"/>
          <w:tab w:val="left" w:pos="4320"/>
        </w:tabs>
        <w:autoSpaceDE w:val="0"/>
        <w:autoSpaceDN w:val="0"/>
        <w:adjustRightInd w:val="0"/>
        <w:spacing w:after="0"/>
        <w:ind w:left="-567"/>
        <w:rPr>
          <w:rFonts w:ascii="Petrobras Sans" w:hAnsi="Petrobras Sans"/>
          <w:b/>
          <w:i/>
          <w:sz w:val="36"/>
        </w:rPr>
      </w:pPr>
      <w:r w:rsidRPr="0025265F">
        <w:rPr>
          <w:rFonts w:ascii="Petrobras Sans" w:hAnsi="Petrobras Sans"/>
          <w:b/>
          <w:i/>
          <w:sz w:val="36"/>
        </w:rPr>
        <w:t>Petrobras on production in 2021</w:t>
      </w:r>
      <w:r w:rsidR="00761EF8">
        <w:rPr>
          <w:rFonts w:ascii="Petrobras Sans" w:hAnsi="Petrobras Sans"/>
          <w:b/>
          <w:i/>
          <w:sz w:val="36"/>
        </w:rPr>
        <w:t xml:space="preserve"> and 2022 target</w:t>
      </w:r>
    </w:p>
    <w:p w14:paraId="7027B7DA" w14:textId="6EA945DE" w:rsidR="00CB5AB4" w:rsidRDefault="00CB5AB4" w:rsidP="00CB5AB4">
      <w:pPr>
        <w:tabs>
          <w:tab w:val="left" w:pos="-6379"/>
          <w:tab w:val="left" w:pos="-5387"/>
          <w:tab w:val="left" w:pos="720"/>
          <w:tab w:val="left" w:pos="1440"/>
          <w:tab w:val="left" w:pos="2160"/>
          <w:tab w:val="left" w:pos="2880"/>
          <w:tab w:val="left" w:pos="3600"/>
          <w:tab w:val="left" w:pos="4320"/>
        </w:tabs>
        <w:autoSpaceDE w:val="0"/>
        <w:autoSpaceDN w:val="0"/>
        <w:adjustRightInd w:val="0"/>
        <w:spacing w:after="0"/>
        <w:ind w:left="-567"/>
        <w:rPr>
          <w:rFonts w:ascii="Petrobras Sans" w:eastAsia="Calibri" w:hAnsi="Petrobras Sans" w:cs="Helv"/>
          <w:b/>
          <w:bCs/>
          <w:sz w:val="28"/>
          <w:szCs w:val="28"/>
        </w:rPr>
      </w:pPr>
      <w:r>
        <w:rPr>
          <w:rFonts w:ascii="Petrobras Sans" w:hAnsi="Petrobras Sans"/>
          <w:b/>
          <w:i/>
          <w:color w:val="FDC82F"/>
          <w:sz w:val="40"/>
        </w:rPr>
        <w:t>—</w:t>
      </w:r>
      <w:r>
        <w:rPr>
          <w:rFonts w:ascii="Petrobras Sans" w:hAnsi="Petrobras Sans"/>
          <w:b/>
          <w:bCs/>
          <w:sz w:val="28"/>
          <w:szCs w:val="28"/>
        </w:rPr>
        <w:t xml:space="preserve"> </w:t>
      </w:r>
    </w:p>
    <w:p w14:paraId="445C3D62" w14:textId="0161DA15" w:rsidR="0025265F" w:rsidRDefault="000C7DEB" w:rsidP="00E76BB1">
      <w:pPr>
        <w:tabs>
          <w:tab w:val="left" w:pos="-6379"/>
          <w:tab w:val="left" w:pos="-5387"/>
          <w:tab w:val="left" w:pos="720"/>
          <w:tab w:val="left" w:pos="1440"/>
          <w:tab w:val="left" w:pos="2160"/>
          <w:tab w:val="left" w:pos="2880"/>
          <w:tab w:val="left" w:pos="3600"/>
          <w:tab w:val="left" w:pos="4320"/>
        </w:tabs>
        <w:autoSpaceDE w:val="0"/>
        <w:autoSpaceDN w:val="0"/>
        <w:adjustRightInd w:val="0"/>
        <w:spacing w:after="0"/>
        <w:ind w:left="-567"/>
        <w:jc w:val="both"/>
        <w:rPr>
          <w:rFonts w:ascii="Petrobras Sans" w:hAnsi="Petrobras Sans"/>
        </w:rPr>
      </w:pPr>
      <w:r w:rsidRPr="00C93A8E">
        <w:rPr>
          <w:rFonts w:ascii="Petrobras Sans" w:hAnsi="Petrobras Sans"/>
        </w:rPr>
        <w:t xml:space="preserve">Rio de Janeiro, </w:t>
      </w:r>
      <w:r w:rsidR="00E76BB1" w:rsidRPr="00C93A8E">
        <w:rPr>
          <w:rFonts w:ascii="Petrobras Sans" w:hAnsi="Petrobras Sans"/>
        </w:rPr>
        <w:t>January</w:t>
      </w:r>
      <w:r w:rsidR="0025265F">
        <w:rPr>
          <w:rFonts w:ascii="Petrobras Sans" w:hAnsi="Petrobras Sans"/>
        </w:rPr>
        <w:t xml:space="preserve"> </w:t>
      </w:r>
      <w:r w:rsidR="00761EF8">
        <w:rPr>
          <w:rFonts w:ascii="Petrobras Sans" w:hAnsi="Petrobras Sans"/>
        </w:rPr>
        <w:t>1</w:t>
      </w:r>
      <w:r w:rsidR="00B3202A">
        <w:rPr>
          <w:rFonts w:ascii="Petrobras Sans" w:hAnsi="Petrobras Sans"/>
        </w:rPr>
        <w:t>4</w:t>
      </w:r>
      <w:bookmarkStart w:id="0" w:name="_GoBack"/>
      <w:bookmarkEnd w:id="0"/>
      <w:r w:rsidR="00B17146" w:rsidRPr="00C93A8E">
        <w:rPr>
          <w:rFonts w:ascii="Petrobras Sans" w:hAnsi="Petrobras Sans"/>
        </w:rPr>
        <w:t>,</w:t>
      </w:r>
      <w:r w:rsidR="00B90D76" w:rsidRPr="00C93A8E">
        <w:rPr>
          <w:rFonts w:ascii="Petrobras Sans" w:hAnsi="Petrobras Sans"/>
        </w:rPr>
        <w:t xml:space="preserve"> 202</w:t>
      </w:r>
      <w:r w:rsidR="00530DCA" w:rsidRPr="00C93A8E">
        <w:rPr>
          <w:rFonts w:ascii="Petrobras Sans" w:hAnsi="Petrobras Sans"/>
        </w:rPr>
        <w:t>2</w:t>
      </w:r>
      <w:r w:rsidR="00CB5AB4" w:rsidRPr="00C93A8E">
        <w:rPr>
          <w:rFonts w:ascii="Petrobras Sans" w:hAnsi="Petrobras Sans"/>
        </w:rPr>
        <w:t xml:space="preserve"> - Petróleo Brasileiro S.A. </w:t>
      </w:r>
      <w:r w:rsidR="00237D0F" w:rsidRPr="00C93A8E">
        <w:rPr>
          <w:rFonts w:ascii="Petrobras Sans" w:hAnsi="Petrobras Sans"/>
        </w:rPr>
        <w:t>–</w:t>
      </w:r>
      <w:r w:rsidR="006205A3" w:rsidRPr="00C93A8E">
        <w:rPr>
          <w:rFonts w:ascii="Petrobras Sans" w:hAnsi="Petrobras Sans"/>
        </w:rPr>
        <w:t xml:space="preserve"> </w:t>
      </w:r>
      <w:r w:rsidR="0025265F" w:rsidRPr="0025265F">
        <w:rPr>
          <w:rFonts w:ascii="Petrobras Sans" w:hAnsi="Petrobras Sans"/>
        </w:rPr>
        <w:t xml:space="preserve">Petrobras confirms the achievement of its production </w:t>
      </w:r>
      <w:r w:rsidR="00761EF8">
        <w:rPr>
          <w:rFonts w:ascii="Petrobras Sans" w:hAnsi="Petrobras Sans"/>
        </w:rPr>
        <w:t>targets</w:t>
      </w:r>
      <w:r w:rsidR="0025265F" w:rsidRPr="0025265F">
        <w:rPr>
          <w:rFonts w:ascii="Petrobras Sans" w:hAnsi="Petrobras Sans"/>
        </w:rPr>
        <w:t xml:space="preserve"> for the year 2021, with the following </w:t>
      </w:r>
      <w:r w:rsidR="00761EF8" w:rsidRPr="0025265F">
        <w:rPr>
          <w:rFonts w:ascii="Petrobras Sans" w:hAnsi="Petrobras Sans"/>
        </w:rPr>
        <w:t>results</w:t>
      </w:r>
      <w:r w:rsidR="0025265F" w:rsidRPr="0025265F">
        <w:rPr>
          <w:rFonts w:ascii="Petrobras Sans" w:hAnsi="Petrobras Sans"/>
        </w:rPr>
        <w:t>:</w:t>
      </w:r>
    </w:p>
    <w:p w14:paraId="24776607" w14:textId="77777777" w:rsidR="0025265F" w:rsidRPr="000F0416" w:rsidRDefault="0025265F" w:rsidP="0025265F">
      <w:pPr>
        <w:jc w:val="both"/>
        <w:rPr>
          <w:rFonts w:ascii="Petrobras Sans" w:hAnsi="Petrobras Sans"/>
        </w:rPr>
      </w:pPr>
    </w:p>
    <w:tbl>
      <w:tblPr>
        <w:tblStyle w:val="Tabelacomgrade"/>
        <w:tblW w:w="0" w:type="auto"/>
        <w:jc w:val="center"/>
        <w:tblLook w:val="04A0" w:firstRow="1" w:lastRow="0" w:firstColumn="1" w:lastColumn="0" w:noHBand="0" w:noVBand="1"/>
      </w:tblPr>
      <w:tblGrid>
        <w:gridCol w:w="4679"/>
        <w:gridCol w:w="1559"/>
        <w:gridCol w:w="1559"/>
      </w:tblGrid>
      <w:tr w:rsidR="0025265F" w:rsidRPr="00526B84" w14:paraId="570E737C" w14:textId="77777777" w:rsidTr="00CE3881">
        <w:trPr>
          <w:jc w:val="center"/>
        </w:trPr>
        <w:tc>
          <w:tcPr>
            <w:tcW w:w="4679" w:type="dxa"/>
            <w:tcBorders>
              <w:top w:val="single" w:sz="4" w:space="0" w:color="auto"/>
              <w:left w:val="single" w:sz="4" w:space="0" w:color="auto"/>
              <w:bottom w:val="single" w:sz="4" w:space="0" w:color="auto"/>
              <w:right w:val="single" w:sz="4" w:space="0" w:color="auto"/>
            </w:tcBorders>
            <w:hideMark/>
          </w:tcPr>
          <w:p w14:paraId="1391E360" w14:textId="3E0A08DF" w:rsidR="0025265F" w:rsidRPr="00526B84" w:rsidRDefault="0025265F" w:rsidP="00CE3881">
            <w:pPr>
              <w:jc w:val="both"/>
              <w:rPr>
                <w:rFonts w:ascii="Petrobras Sans" w:hAnsi="Petrobras Sans"/>
              </w:rPr>
            </w:pPr>
            <w:r w:rsidRPr="00526B84">
              <w:rPr>
                <w:rFonts w:ascii="Petrobras Sans" w:hAnsi="Petrobras Sans"/>
              </w:rPr>
              <w:t>Produ</w:t>
            </w:r>
            <w:r>
              <w:rPr>
                <w:rFonts w:ascii="Petrobras Sans" w:hAnsi="Petrobras Sans"/>
              </w:rPr>
              <w:t>ction</w:t>
            </w:r>
          </w:p>
        </w:tc>
        <w:tc>
          <w:tcPr>
            <w:tcW w:w="1559" w:type="dxa"/>
            <w:tcBorders>
              <w:top w:val="single" w:sz="4" w:space="0" w:color="auto"/>
              <w:left w:val="single" w:sz="4" w:space="0" w:color="auto"/>
              <w:bottom w:val="single" w:sz="4" w:space="0" w:color="auto"/>
              <w:right w:val="single" w:sz="4" w:space="0" w:color="auto"/>
            </w:tcBorders>
            <w:hideMark/>
          </w:tcPr>
          <w:p w14:paraId="5ECCA2A1" w14:textId="756F6412" w:rsidR="0025265F" w:rsidRPr="00526B84" w:rsidRDefault="0025265F" w:rsidP="00CE3881">
            <w:pPr>
              <w:jc w:val="center"/>
              <w:rPr>
                <w:rFonts w:ascii="Petrobras Sans" w:hAnsi="Petrobras Sans"/>
              </w:rPr>
            </w:pPr>
            <w:r>
              <w:rPr>
                <w:rFonts w:ascii="Petrobras Sans" w:hAnsi="Petrobras Sans"/>
              </w:rPr>
              <w:t>Performed</w:t>
            </w:r>
          </w:p>
        </w:tc>
        <w:tc>
          <w:tcPr>
            <w:tcW w:w="1559" w:type="dxa"/>
            <w:tcBorders>
              <w:top w:val="single" w:sz="4" w:space="0" w:color="auto"/>
              <w:left w:val="single" w:sz="4" w:space="0" w:color="auto"/>
              <w:bottom w:val="single" w:sz="4" w:space="0" w:color="auto"/>
              <w:right w:val="single" w:sz="4" w:space="0" w:color="auto"/>
            </w:tcBorders>
            <w:hideMark/>
          </w:tcPr>
          <w:p w14:paraId="6B87E2A3" w14:textId="48841C4C" w:rsidR="0025265F" w:rsidRPr="00526B84" w:rsidRDefault="0025265F" w:rsidP="00CE3881">
            <w:pPr>
              <w:jc w:val="center"/>
              <w:rPr>
                <w:rFonts w:ascii="Petrobras Sans" w:hAnsi="Petrobras Sans"/>
              </w:rPr>
            </w:pPr>
            <w:r>
              <w:rPr>
                <w:rFonts w:ascii="Petrobras Sans" w:hAnsi="Petrobras Sans"/>
              </w:rPr>
              <w:t>Goal</w:t>
            </w:r>
          </w:p>
        </w:tc>
      </w:tr>
      <w:tr w:rsidR="0025265F" w:rsidRPr="00526B84" w14:paraId="56B9722D" w14:textId="77777777" w:rsidTr="00CE3881">
        <w:trPr>
          <w:jc w:val="center"/>
        </w:trPr>
        <w:tc>
          <w:tcPr>
            <w:tcW w:w="4679" w:type="dxa"/>
            <w:tcBorders>
              <w:top w:val="single" w:sz="4" w:space="0" w:color="auto"/>
              <w:left w:val="single" w:sz="4" w:space="0" w:color="auto"/>
              <w:bottom w:val="single" w:sz="4" w:space="0" w:color="auto"/>
              <w:right w:val="single" w:sz="4" w:space="0" w:color="auto"/>
            </w:tcBorders>
            <w:hideMark/>
          </w:tcPr>
          <w:p w14:paraId="60714804" w14:textId="28641F34" w:rsidR="0025265F" w:rsidRPr="00526B84" w:rsidRDefault="00A41D92" w:rsidP="00CE3881">
            <w:pPr>
              <w:jc w:val="both"/>
              <w:rPr>
                <w:rFonts w:ascii="Petrobras Sans" w:hAnsi="Petrobras Sans"/>
              </w:rPr>
            </w:pPr>
            <w:r>
              <w:rPr>
                <w:rFonts w:ascii="Petrobras Sans" w:hAnsi="Petrobras Sans"/>
              </w:rPr>
              <w:t>Oil and</w:t>
            </w:r>
            <w:r w:rsidR="0025265F" w:rsidRPr="00526B84">
              <w:rPr>
                <w:rFonts w:ascii="Petrobras Sans" w:hAnsi="Petrobras Sans"/>
              </w:rPr>
              <w:t xml:space="preserve"> N</w:t>
            </w:r>
            <w:r>
              <w:rPr>
                <w:rFonts w:ascii="Petrobras Sans" w:hAnsi="Petrobras Sans"/>
              </w:rPr>
              <w:t>GL</w:t>
            </w:r>
            <w:r w:rsidR="0025265F" w:rsidRPr="00526B84">
              <w:rPr>
                <w:rFonts w:ascii="Petrobras Sans" w:hAnsi="Petrobras Sans"/>
              </w:rPr>
              <w:t xml:space="preserve"> (MMbpd)</w:t>
            </w:r>
            <w:r w:rsidR="0025265F" w:rsidRPr="00526B84">
              <w:rPr>
                <w:rFonts w:ascii="Petrobras Sans" w:hAnsi="Petrobras Sans"/>
                <w:vertAlign w:val="superscript"/>
              </w:rPr>
              <w:t>1</w:t>
            </w:r>
          </w:p>
        </w:tc>
        <w:tc>
          <w:tcPr>
            <w:tcW w:w="1559" w:type="dxa"/>
            <w:tcBorders>
              <w:top w:val="single" w:sz="4" w:space="0" w:color="auto"/>
              <w:left w:val="single" w:sz="4" w:space="0" w:color="auto"/>
              <w:bottom w:val="single" w:sz="4" w:space="0" w:color="auto"/>
              <w:right w:val="single" w:sz="4" w:space="0" w:color="auto"/>
            </w:tcBorders>
            <w:hideMark/>
          </w:tcPr>
          <w:p w14:paraId="74E4B7D6" w14:textId="40F92B37" w:rsidR="0025265F" w:rsidRPr="00526B84" w:rsidRDefault="0025265F" w:rsidP="00CE3881">
            <w:pPr>
              <w:jc w:val="center"/>
              <w:rPr>
                <w:rFonts w:ascii="Petrobras Sans" w:hAnsi="Petrobras Sans"/>
              </w:rPr>
            </w:pPr>
            <w:r w:rsidRPr="00526B84">
              <w:rPr>
                <w:rFonts w:ascii="Petrobras Sans" w:hAnsi="Petrobras Sans"/>
              </w:rPr>
              <w:t>2</w:t>
            </w:r>
            <w:r w:rsidR="00A41D92">
              <w:rPr>
                <w:rFonts w:ascii="Petrobras Sans" w:hAnsi="Petrobras Sans"/>
              </w:rPr>
              <w:t>.</w:t>
            </w:r>
            <w:r w:rsidRPr="00526B84">
              <w:rPr>
                <w:rFonts w:ascii="Petrobras Sans" w:hAnsi="Petrobras Sans"/>
              </w:rPr>
              <w:t>22</w:t>
            </w:r>
          </w:p>
        </w:tc>
        <w:tc>
          <w:tcPr>
            <w:tcW w:w="1559" w:type="dxa"/>
            <w:tcBorders>
              <w:top w:val="single" w:sz="4" w:space="0" w:color="auto"/>
              <w:left w:val="single" w:sz="4" w:space="0" w:color="auto"/>
              <w:bottom w:val="single" w:sz="4" w:space="0" w:color="auto"/>
              <w:right w:val="single" w:sz="4" w:space="0" w:color="auto"/>
            </w:tcBorders>
            <w:hideMark/>
          </w:tcPr>
          <w:p w14:paraId="056D8CA6" w14:textId="58DCCAE4" w:rsidR="0025265F" w:rsidRPr="00526B84" w:rsidRDefault="0025265F" w:rsidP="00CE3881">
            <w:pPr>
              <w:jc w:val="center"/>
              <w:rPr>
                <w:rFonts w:ascii="Petrobras Sans" w:hAnsi="Petrobras Sans"/>
              </w:rPr>
            </w:pPr>
            <w:r w:rsidRPr="00526B84">
              <w:rPr>
                <w:rFonts w:ascii="Petrobras Sans" w:hAnsi="Petrobras Sans"/>
              </w:rPr>
              <w:t>2</w:t>
            </w:r>
            <w:r w:rsidR="00A41D92">
              <w:rPr>
                <w:rFonts w:ascii="Petrobras Sans" w:hAnsi="Petrobras Sans"/>
              </w:rPr>
              <w:t>.</w:t>
            </w:r>
            <w:r w:rsidRPr="00526B84">
              <w:rPr>
                <w:rFonts w:ascii="Petrobras Sans" w:hAnsi="Petrobras Sans"/>
              </w:rPr>
              <w:t xml:space="preserve">21 </w:t>
            </w:r>
            <w:r w:rsidRPr="00526B84">
              <w:rPr>
                <w:rFonts w:ascii="Petrobras Sans" w:hAnsi="Petrobras Sans"/>
                <w:u w:val="single"/>
              </w:rPr>
              <w:t>+</w:t>
            </w:r>
            <w:r w:rsidRPr="00526B84">
              <w:rPr>
                <w:rFonts w:ascii="Petrobras Sans" w:hAnsi="Petrobras Sans"/>
              </w:rPr>
              <w:t xml:space="preserve"> 4%</w:t>
            </w:r>
          </w:p>
        </w:tc>
      </w:tr>
      <w:tr w:rsidR="0025265F" w:rsidRPr="00526B84" w14:paraId="7ACCF4C9" w14:textId="77777777" w:rsidTr="00CE3881">
        <w:trPr>
          <w:jc w:val="center"/>
        </w:trPr>
        <w:tc>
          <w:tcPr>
            <w:tcW w:w="4679" w:type="dxa"/>
            <w:tcBorders>
              <w:top w:val="single" w:sz="4" w:space="0" w:color="auto"/>
              <w:left w:val="single" w:sz="4" w:space="0" w:color="auto"/>
              <w:bottom w:val="single" w:sz="4" w:space="0" w:color="auto"/>
              <w:right w:val="single" w:sz="4" w:space="0" w:color="auto"/>
            </w:tcBorders>
            <w:hideMark/>
          </w:tcPr>
          <w:p w14:paraId="235E1931" w14:textId="0469FAD4" w:rsidR="0025265F" w:rsidRPr="00A41D92" w:rsidRDefault="00A41D92" w:rsidP="00CE3881">
            <w:pPr>
              <w:jc w:val="both"/>
              <w:rPr>
                <w:rFonts w:ascii="Petrobras Sans" w:hAnsi="Petrobras Sans"/>
                <w:lang w:val="en-US"/>
              </w:rPr>
            </w:pPr>
            <w:r w:rsidRPr="00A41D92">
              <w:rPr>
                <w:rFonts w:ascii="Petrobras Sans" w:hAnsi="Petrobras Sans"/>
                <w:lang w:val="en-US"/>
              </w:rPr>
              <w:t>Oil</w:t>
            </w:r>
            <w:r w:rsidR="0025265F" w:rsidRPr="00A41D92">
              <w:rPr>
                <w:rFonts w:ascii="Petrobras Sans" w:hAnsi="Petrobras Sans"/>
                <w:lang w:val="en-US"/>
              </w:rPr>
              <w:t xml:space="preserve">, </w:t>
            </w:r>
            <w:r w:rsidRPr="00A41D92">
              <w:rPr>
                <w:rFonts w:ascii="Petrobras Sans" w:hAnsi="Petrobras Sans"/>
                <w:lang w:val="en-US"/>
              </w:rPr>
              <w:t>NGL and</w:t>
            </w:r>
            <w:r w:rsidR="0025265F" w:rsidRPr="00A41D92">
              <w:rPr>
                <w:rFonts w:ascii="Petrobras Sans" w:hAnsi="Petrobras Sans"/>
                <w:lang w:val="en-US"/>
              </w:rPr>
              <w:t xml:space="preserve"> com</w:t>
            </w:r>
            <w:r w:rsidRPr="00A41D92">
              <w:rPr>
                <w:rFonts w:ascii="Petrobras Sans" w:hAnsi="Petrobras Sans"/>
                <w:lang w:val="en-US"/>
              </w:rPr>
              <w:t>m</w:t>
            </w:r>
            <w:r w:rsidR="0025265F" w:rsidRPr="00A41D92">
              <w:rPr>
                <w:rFonts w:ascii="Petrobras Sans" w:hAnsi="Petrobras Sans"/>
                <w:lang w:val="en-US"/>
              </w:rPr>
              <w:t xml:space="preserve">ercial </w:t>
            </w:r>
            <w:r w:rsidRPr="00A41D92">
              <w:rPr>
                <w:rFonts w:ascii="Petrobras Sans" w:hAnsi="Petrobras Sans"/>
                <w:lang w:val="en-US"/>
              </w:rPr>
              <w:t xml:space="preserve">gas </w:t>
            </w:r>
            <w:r w:rsidR="0025265F" w:rsidRPr="00A41D92">
              <w:rPr>
                <w:rFonts w:ascii="Petrobras Sans" w:hAnsi="Petrobras Sans"/>
                <w:lang w:val="en-US"/>
              </w:rPr>
              <w:t>(MMboed)</w:t>
            </w:r>
            <w:r w:rsidR="0025265F" w:rsidRPr="00A41D92">
              <w:rPr>
                <w:rFonts w:ascii="Petrobras Sans" w:hAnsi="Petrobras Sans"/>
                <w:vertAlign w:val="superscript"/>
                <w:lang w:val="en-US"/>
              </w:rPr>
              <w:t>2</w:t>
            </w:r>
          </w:p>
        </w:tc>
        <w:tc>
          <w:tcPr>
            <w:tcW w:w="1559" w:type="dxa"/>
            <w:tcBorders>
              <w:top w:val="single" w:sz="4" w:space="0" w:color="auto"/>
              <w:left w:val="single" w:sz="4" w:space="0" w:color="auto"/>
              <w:bottom w:val="single" w:sz="4" w:space="0" w:color="auto"/>
              <w:right w:val="single" w:sz="4" w:space="0" w:color="auto"/>
            </w:tcBorders>
            <w:hideMark/>
          </w:tcPr>
          <w:p w14:paraId="6BF93567" w14:textId="1F037A96" w:rsidR="0025265F" w:rsidRPr="00526B84" w:rsidRDefault="0025265F" w:rsidP="00CE3881">
            <w:pPr>
              <w:jc w:val="center"/>
              <w:rPr>
                <w:rFonts w:ascii="Petrobras Sans" w:hAnsi="Petrobras Sans"/>
              </w:rPr>
            </w:pPr>
            <w:r w:rsidRPr="00526B84">
              <w:rPr>
                <w:rFonts w:ascii="Petrobras Sans" w:hAnsi="Petrobras Sans"/>
              </w:rPr>
              <w:t>2</w:t>
            </w:r>
            <w:r w:rsidR="00A41D92">
              <w:rPr>
                <w:rFonts w:ascii="Petrobras Sans" w:hAnsi="Petrobras Sans"/>
              </w:rPr>
              <w:t>.</w:t>
            </w:r>
            <w:r w:rsidRPr="00526B84">
              <w:rPr>
                <w:rFonts w:ascii="Petrobras Sans" w:hAnsi="Petrobras Sans"/>
              </w:rPr>
              <w:t>46</w:t>
            </w:r>
          </w:p>
        </w:tc>
        <w:tc>
          <w:tcPr>
            <w:tcW w:w="1559" w:type="dxa"/>
            <w:tcBorders>
              <w:top w:val="single" w:sz="4" w:space="0" w:color="auto"/>
              <w:left w:val="single" w:sz="4" w:space="0" w:color="auto"/>
              <w:bottom w:val="single" w:sz="4" w:space="0" w:color="auto"/>
              <w:right w:val="single" w:sz="4" w:space="0" w:color="auto"/>
            </w:tcBorders>
            <w:hideMark/>
          </w:tcPr>
          <w:p w14:paraId="5282B0FE" w14:textId="73357572" w:rsidR="0025265F" w:rsidRPr="00526B84" w:rsidRDefault="0025265F" w:rsidP="00CE3881">
            <w:pPr>
              <w:jc w:val="center"/>
              <w:rPr>
                <w:rFonts w:ascii="Petrobras Sans" w:hAnsi="Petrobras Sans"/>
              </w:rPr>
            </w:pPr>
            <w:r w:rsidRPr="00526B84">
              <w:rPr>
                <w:rFonts w:ascii="Petrobras Sans" w:hAnsi="Petrobras Sans"/>
              </w:rPr>
              <w:t>2</w:t>
            </w:r>
            <w:r w:rsidR="00A41D92">
              <w:rPr>
                <w:rFonts w:ascii="Petrobras Sans" w:hAnsi="Petrobras Sans"/>
              </w:rPr>
              <w:t>.</w:t>
            </w:r>
            <w:r w:rsidRPr="00526B84">
              <w:rPr>
                <w:rFonts w:ascii="Petrobras Sans" w:hAnsi="Petrobras Sans"/>
              </w:rPr>
              <w:t xml:space="preserve">43 </w:t>
            </w:r>
            <w:r w:rsidRPr="00526B84">
              <w:rPr>
                <w:rFonts w:ascii="Petrobras Sans" w:hAnsi="Petrobras Sans"/>
                <w:u w:val="single"/>
              </w:rPr>
              <w:t>+</w:t>
            </w:r>
            <w:r w:rsidRPr="00526B84">
              <w:rPr>
                <w:rFonts w:ascii="Petrobras Sans" w:hAnsi="Petrobras Sans"/>
              </w:rPr>
              <w:t xml:space="preserve"> 4%</w:t>
            </w:r>
          </w:p>
        </w:tc>
      </w:tr>
      <w:tr w:rsidR="0025265F" w:rsidRPr="00526B84" w14:paraId="6BAC5E84" w14:textId="77777777" w:rsidTr="00CE3881">
        <w:trPr>
          <w:jc w:val="center"/>
        </w:trPr>
        <w:tc>
          <w:tcPr>
            <w:tcW w:w="4679" w:type="dxa"/>
            <w:tcBorders>
              <w:top w:val="single" w:sz="4" w:space="0" w:color="auto"/>
              <w:left w:val="single" w:sz="4" w:space="0" w:color="auto"/>
              <w:bottom w:val="single" w:sz="4" w:space="0" w:color="auto"/>
              <w:right w:val="single" w:sz="4" w:space="0" w:color="auto"/>
            </w:tcBorders>
            <w:hideMark/>
          </w:tcPr>
          <w:p w14:paraId="23D7AE2B" w14:textId="4C468FDA" w:rsidR="0025265F" w:rsidRPr="00A41D92" w:rsidRDefault="00A41D92" w:rsidP="00CE3881">
            <w:pPr>
              <w:jc w:val="both"/>
              <w:rPr>
                <w:rFonts w:ascii="Petrobras Sans" w:hAnsi="Petrobras Sans"/>
                <w:lang w:val="en-US"/>
              </w:rPr>
            </w:pPr>
            <w:r w:rsidRPr="00A41D92">
              <w:rPr>
                <w:rFonts w:ascii="Petrobras Sans" w:hAnsi="Petrobras Sans"/>
                <w:lang w:val="en-US"/>
              </w:rPr>
              <w:t>Oil and</w:t>
            </w:r>
            <w:r w:rsidR="0025265F" w:rsidRPr="00A41D92">
              <w:rPr>
                <w:rFonts w:ascii="Petrobras Sans" w:hAnsi="Petrobras Sans"/>
                <w:lang w:val="en-US"/>
              </w:rPr>
              <w:t xml:space="preserve"> total </w:t>
            </w:r>
            <w:r w:rsidRPr="00A41D92">
              <w:rPr>
                <w:rFonts w:ascii="Petrobras Sans" w:hAnsi="Petrobras Sans"/>
                <w:lang w:val="en-US"/>
              </w:rPr>
              <w:t xml:space="preserve">gas </w:t>
            </w:r>
            <w:r w:rsidR="0025265F" w:rsidRPr="00A41D92">
              <w:rPr>
                <w:rFonts w:ascii="Petrobras Sans" w:hAnsi="Petrobras Sans"/>
                <w:lang w:val="en-US"/>
              </w:rPr>
              <w:t>(MMboed)</w:t>
            </w:r>
          </w:p>
        </w:tc>
        <w:tc>
          <w:tcPr>
            <w:tcW w:w="1559" w:type="dxa"/>
            <w:tcBorders>
              <w:top w:val="single" w:sz="4" w:space="0" w:color="auto"/>
              <w:left w:val="single" w:sz="4" w:space="0" w:color="auto"/>
              <w:bottom w:val="single" w:sz="4" w:space="0" w:color="auto"/>
              <w:right w:val="single" w:sz="4" w:space="0" w:color="auto"/>
            </w:tcBorders>
            <w:hideMark/>
          </w:tcPr>
          <w:p w14:paraId="244177DF" w14:textId="2314C081" w:rsidR="0025265F" w:rsidRPr="00526B84" w:rsidRDefault="0025265F" w:rsidP="00CE3881">
            <w:pPr>
              <w:jc w:val="center"/>
              <w:rPr>
                <w:rFonts w:ascii="Petrobras Sans" w:hAnsi="Petrobras Sans"/>
              </w:rPr>
            </w:pPr>
            <w:r w:rsidRPr="00526B84">
              <w:rPr>
                <w:rFonts w:ascii="Petrobras Sans" w:hAnsi="Petrobras Sans"/>
              </w:rPr>
              <w:t>2</w:t>
            </w:r>
            <w:r w:rsidR="00A41D92">
              <w:rPr>
                <w:rFonts w:ascii="Petrobras Sans" w:hAnsi="Petrobras Sans"/>
              </w:rPr>
              <w:t>.</w:t>
            </w:r>
            <w:r w:rsidRPr="00526B84">
              <w:rPr>
                <w:rFonts w:ascii="Petrobras Sans" w:hAnsi="Petrobras Sans"/>
              </w:rPr>
              <w:t>77</w:t>
            </w:r>
          </w:p>
        </w:tc>
        <w:tc>
          <w:tcPr>
            <w:tcW w:w="1559" w:type="dxa"/>
            <w:tcBorders>
              <w:top w:val="single" w:sz="4" w:space="0" w:color="auto"/>
              <w:left w:val="single" w:sz="4" w:space="0" w:color="auto"/>
              <w:bottom w:val="single" w:sz="4" w:space="0" w:color="auto"/>
              <w:right w:val="single" w:sz="4" w:space="0" w:color="auto"/>
            </w:tcBorders>
            <w:hideMark/>
          </w:tcPr>
          <w:p w14:paraId="7EA06E17" w14:textId="3875E7B8" w:rsidR="0025265F" w:rsidRPr="00526B84" w:rsidRDefault="0025265F" w:rsidP="00CE3881">
            <w:pPr>
              <w:jc w:val="center"/>
              <w:rPr>
                <w:rFonts w:ascii="Petrobras Sans" w:hAnsi="Petrobras Sans"/>
              </w:rPr>
            </w:pPr>
            <w:r w:rsidRPr="00526B84">
              <w:rPr>
                <w:rFonts w:ascii="Petrobras Sans" w:hAnsi="Petrobras Sans"/>
              </w:rPr>
              <w:t>2</w:t>
            </w:r>
            <w:r w:rsidR="00A41D92">
              <w:rPr>
                <w:rFonts w:ascii="Petrobras Sans" w:hAnsi="Petrobras Sans"/>
              </w:rPr>
              <w:t>.</w:t>
            </w:r>
            <w:r w:rsidRPr="00526B84">
              <w:rPr>
                <w:rFonts w:ascii="Petrobras Sans" w:hAnsi="Petrobras Sans"/>
              </w:rPr>
              <w:t xml:space="preserve">72 </w:t>
            </w:r>
            <w:r w:rsidRPr="00526B84">
              <w:rPr>
                <w:rFonts w:ascii="Petrobras Sans" w:hAnsi="Petrobras Sans"/>
                <w:u w:val="single"/>
              </w:rPr>
              <w:t>+</w:t>
            </w:r>
            <w:r w:rsidRPr="00526B84">
              <w:rPr>
                <w:rFonts w:ascii="Petrobras Sans" w:hAnsi="Petrobras Sans"/>
              </w:rPr>
              <w:t xml:space="preserve"> 4%</w:t>
            </w:r>
          </w:p>
        </w:tc>
      </w:tr>
      <w:tr w:rsidR="0025265F" w:rsidRPr="0025265F" w14:paraId="3E3CAAC0" w14:textId="77777777" w:rsidTr="00CE3881">
        <w:trPr>
          <w:jc w:val="center"/>
        </w:trPr>
        <w:tc>
          <w:tcPr>
            <w:tcW w:w="7797" w:type="dxa"/>
            <w:gridSpan w:val="3"/>
            <w:tcBorders>
              <w:top w:val="single" w:sz="4" w:space="0" w:color="auto"/>
              <w:left w:val="nil"/>
              <w:bottom w:val="nil"/>
              <w:right w:val="nil"/>
            </w:tcBorders>
            <w:hideMark/>
          </w:tcPr>
          <w:p w14:paraId="4EB2D906" w14:textId="2D82E619" w:rsidR="0025265F" w:rsidRPr="00761EF8" w:rsidRDefault="0025265F" w:rsidP="00CE3881">
            <w:pPr>
              <w:rPr>
                <w:rFonts w:ascii="Petrobras Sans" w:hAnsi="Petrobras Sans"/>
                <w:sz w:val="12"/>
                <w:szCs w:val="12"/>
              </w:rPr>
            </w:pPr>
            <w:r w:rsidRPr="00761EF8">
              <w:rPr>
                <w:rFonts w:ascii="Petrobras Sans" w:hAnsi="Petrobras Sans"/>
                <w:sz w:val="12"/>
                <w:szCs w:val="12"/>
                <w:vertAlign w:val="superscript"/>
              </w:rPr>
              <w:t xml:space="preserve">1 </w:t>
            </w:r>
            <w:r w:rsidR="00A41D92" w:rsidRPr="00761EF8">
              <w:rPr>
                <w:rFonts w:ascii="Petrobras Sans" w:hAnsi="Petrobras Sans"/>
                <w:sz w:val="12"/>
                <w:szCs w:val="12"/>
              </w:rPr>
              <w:t>million barrels per day</w:t>
            </w:r>
          </w:p>
        </w:tc>
      </w:tr>
      <w:tr w:rsidR="0025265F" w:rsidRPr="00A41D92" w14:paraId="20E93318" w14:textId="77777777" w:rsidTr="00CE3881">
        <w:trPr>
          <w:trHeight w:val="51"/>
          <w:jc w:val="center"/>
        </w:trPr>
        <w:tc>
          <w:tcPr>
            <w:tcW w:w="7797" w:type="dxa"/>
            <w:gridSpan w:val="3"/>
            <w:tcBorders>
              <w:top w:val="nil"/>
              <w:left w:val="nil"/>
              <w:bottom w:val="nil"/>
              <w:right w:val="nil"/>
            </w:tcBorders>
            <w:hideMark/>
          </w:tcPr>
          <w:p w14:paraId="386F4CFC" w14:textId="4C30222B" w:rsidR="0025265F" w:rsidRPr="00761EF8" w:rsidRDefault="0025265F" w:rsidP="00CE3881">
            <w:pPr>
              <w:rPr>
                <w:rFonts w:ascii="Petrobras Sans" w:hAnsi="Petrobras Sans"/>
                <w:sz w:val="12"/>
                <w:szCs w:val="12"/>
                <w:lang w:val="en-US"/>
              </w:rPr>
            </w:pPr>
            <w:r w:rsidRPr="00761EF8">
              <w:rPr>
                <w:rFonts w:ascii="Petrobras Sans" w:hAnsi="Petrobras Sans"/>
                <w:sz w:val="12"/>
                <w:szCs w:val="12"/>
                <w:vertAlign w:val="superscript"/>
                <w:lang w:val="en-US"/>
              </w:rPr>
              <w:t xml:space="preserve">2 </w:t>
            </w:r>
            <w:r w:rsidR="00A41D92" w:rsidRPr="00761EF8">
              <w:rPr>
                <w:rFonts w:ascii="Petrobras Sans" w:hAnsi="Petrobras Sans"/>
                <w:sz w:val="12"/>
                <w:szCs w:val="12"/>
                <w:lang w:val="en-US"/>
              </w:rPr>
              <w:t>million barrels of oil equivalent per day</w:t>
            </w:r>
          </w:p>
        </w:tc>
      </w:tr>
    </w:tbl>
    <w:p w14:paraId="2D59E780" w14:textId="35C953A6" w:rsidR="0025265F" w:rsidRDefault="0025265F" w:rsidP="0025265F">
      <w:pPr>
        <w:rPr>
          <w:rFonts w:ascii="Petrobras Sans" w:hAnsi="Petrobras Sans"/>
          <w:b/>
          <w:bCs/>
        </w:rPr>
      </w:pPr>
    </w:p>
    <w:p w14:paraId="079AE75E" w14:textId="4352D767" w:rsidR="00A41D92" w:rsidRDefault="00A41D92" w:rsidP="0025265F">
      <w:pPr>
        <w:rPr>
          <w:rFonts w:ascii="Petrobras Sans" w:hAnsi="Petrobras Sans"/>
        </w:rPr>
      </w:pPr>
      <w:r w:rsidRPr="00A41D92">
        <w:rPr>
          <w:rFonts w:ascii="Petrobras Sans" w:hAnsi="Petrobras Sans"/>
        </w:rPr>
        <w:t>The highlights of 2021 were:</w:t>
      </w:r>
    </w:p>
    <w:p w14:paraId="5C1E750A" w14:textId="18098C58" w:rsidR="00A41D92" w:rsidRDefault="007727FB" w:rsidP="007727FB">
      <w:pPr>
        <w:pStyle w:val="PargrafodaLista"/>
        <w:numPr>
          <w:ilvl w:val="0"/>
          <w:numId w:val="4"/>
        </w:numPr>
        <w:rPr>
          <w:rFonts w:ascii="Petrobras Sans" w:hAnsi="Petrobras Sans"/>
          <w:lang w:val="en-US"/>
        </w:rPr>
      </w:pPr>
      <w:r w:rsidRPr="007727FB">
        <w:rPr>
          <w:rFonts w:ascii="Petrobras Sans" w:hAnsi="Petrobras Sans"/>
          <w:lang w:val="en-US"/>
        </w:rPr>
        <w:t>the start of production from FPSO Carioca, the first platform in the Sépia field, in the Santos Basin pre-salt;</w:t>
      </w:r>
    </w:p>
    <w:p w14:paraId="4159DBB1" w14:textId="435FA39F" w:rsidR="007727FB" w:rsidRDefault="007727FB" w:rsidP="007727FB">
      <w:pPr>
        <w:pStyle w:val="PargrafodaLista"/>
        <w:numPr>
          <w:ilvl w:val="0"/>
          <w:numId w:val="4"/>
        </w:numPr>
        <w:rPr>
          <w:rFonts w:ascii="Petrobras Sans" w:hAnsi="Petrobras Sans"/>
          <w:lang w:val="en-US"/>
        </w:rPr>
      </w:pPr>
      <w:r w:rsidRPr="007727FB">
        <w:rPr>
          <w:rFonts w:ascii="Petrobras Sans" w:hAnsi="Petrobras Sans"/>
          <w:lang w:val="en-US"/>
        </w:rPr>
        <w:t>own production in the pre-salt, which totaled 1.95 MMboed in 2021, representing 70% of Petrobras' total production;</w:t>
      </w:r>
    </w:p>
    <w:p w14:paraId="4714D88A" w14:textId="450C2051" w:rsidR="007727FB" w:rsidRDefault="007727FB" w:rsidP="007727FB">
      <w:pPr>
        <w:pStyle w:val="PargrafodaLista"/>
        <w:numPr>
          <w:ilvl w:val="0"/>
          <w:numId w:val="4"/>
        </w:numPr>
        <w:rPr>
          <w:rFonts w:ascii="Petrobras Sans" w:hAnsi="Petrobras Sans"/>
          <w:lang w:val="en-US"/>
        </w:rPr>
      </w:pPr>
      <w:r w:rsidRPr="007727FB">
        <w:rPr>
          <w:rFonts w:ascii="Petrobras Sans" w:hAnsi="Petrobras Sans"/>
          <w:lang w:val="en-US"/>
        </w:rPr>
        <w:t>the signing and start of the co-participation agreement for the Búzios field, which regulates the coexistence of the Transfer of Rights Agreement and the Production Sharing Agreement of the</w:t>
      </w:r>
      <w:r w:rsidR="00B42FCB">
        <w:rPr>
          <w:rFonts w:ascii="Petrobras Sans" w:hAnsi="Petrobras Sans"/>
          <w:lang w:val="en-US"/>
        </w:rPr>
        <w:t xml:space="preserve"> </w:t>
      </w:r>
      <w:r w:rsidRPr="007727FB">
        <w:rPr>
          <w:rFonts w:ascii="Petrobras Sans" w:hAnsi="Petrobras Sans"/>
          <w:lang w:val="en-US"/>
        </w:rPr>
        <w:t>Transfer of Rights</w:t>
      </w:r>
      <w:r w:rsidR="008F2A48">
        <w:rPr>
          <w:rFonts w:ascii="Petrobras Sans" w:hAnsi="Petrobras Sans"/>
          <w:lang w:val="en-US"/>
        </w:rPr>
        <w:t xml:space="preserve"> </w:t>
      </w:r>
      <w:r w:rsidR="009B32F0">
        <w:rPr>
          <w:rFonts w:ascii="Petrobras Sans" w:hAnsi="Petrobras Sans"/>
          <w:lang w:val="en-US"/>
        </w:rPr>
        <w:t>Surplus</w:t>
      </w:r>
      <w:r w:rsidR="009B32F0" w:rsidRPr="007727FB">
        <w:rPr>
          <w:rFonts w:ascii="Petrobras Sans" w:hAnsi="Petrobras Sans"/>
          <w:lang w:val="en-US"/>
        </w:rPr>
        <w:t xml:space="preserve"> </w:t>
      </w:r>
      <w:r w:rsidRPr="007727FB">
        <w:rPr>
          <w:rFonts w:ascii="Petrobras Sans" w:hAnsi="Petrobras Sans"/>
          <w:lang w:val="en-US"/>
        </w:rPr>
        <w:t>for the field;</w:t>
      </w:r>
    </w:p>
    <w:p w14:paraId="1FF84947" w14:textId="26C42F15" w:rsidR="00814CD1" w:rsidRPr="007727FB" w:rsidRDefault="00814CD1" w:rsidP="007727FB">
      <w:pPr>
        <w:pStyle w:val="PargrafodaLista"/>
        <w:numPr>
          <w:ilvl w:val="0"/>
          <w:numId w:val="4"/>
        </w:numPr>
        <w:rPr>
          <w:rFonts w:ascii="Petrobras Sans" w:hAnsi="Petrobras Sans"/>
          <w:lang w:val="en-US"/>
        </w:rPr>
      </w:pPr>
      <w:r w:rsidRPr="00814CD1">
        <w:rPr>
          <w:rFonts w:ascii="Petrobras Sans" w:hAnsi="Petrobras Sans"/>
          <w:lang w:val="en-US"/>
        </w:rPr>
        <w:t xml:space="preserve">the conclusion of the sale of the totality of its stake in the offshore fields of Frade, in Campos Basin, and Lapa, in the Santos Basin pre-salt, the onshore </w:t>
      </w:r>
      <w:r w:rsidR="009B32F0">
        <w:rPr>
          <w:rFonts w:ascii="Petrobras Sans" w:hAnsi="Petrobras Sans"/>
          <w:lang w:val="en-US"/>
        </w:rPr>
        <w:t>c</w:t>
      </w:r>
      <w:r w:rsidRPr="00814CD1">
        <w:rPr>
          <w:rFonts w:ascii="Petrobras Sans" w:hAnsi="Petrobras Sans"/>
          <w:lang w:val="en-US"/>
        </w:rPr>
        <w:t>lusters of Rio Ventura, Miranga and Remanso, in Bahia, and Cricaré, in Espírito Santo, and the onshore fields of Dó-Ré-Mi and Rabo Branco, in Sergipe;</w:t>
      </w:r>
    </w:p>
    <w:p w14:paraId="2F3B4BDF" w14:textId="24A19881" w:rsidR="00814CD1" w:rsidRPr="00814CD1" w:rsidRDefault="00814CD1" w:rsidP="0025265F">
      <w:pPr>
        <w:jc w:val="both"/>
        <w:rPr>
          <w:rFonts w:ascii="Petrobras Sans" w:hAnsi="Petrobras Sans"/>
        </w:rPr>
      </w:pPr>
      <w:r w:rsidRPr="00814CD1">
        <w:rPr>
          <w:rFonts w:ascii="Petrobras Sans" w:hAnsi="Petrobras Sans"/>
        </w:rPr>
        <w:t xml:space="preserve">The achievement of this result shows Petrobras' commitment to meeting its goals, which have been reached by maintaining the focus of its activities </w:t>
      </w:r>
      <w:r w:rsidR="009B32F0">
        <w:rPr>
          <w:rFonts w:ascii="Petrobras Sans" w:hAnsi="Petrobras Sans"/>
        </w:rPr>
        <w:t>o</w:t>
      </w:r>
      <w:r w:rsidRPr="00814CD1">
        <w:rPr>
          <w:rFonts w:ascii="Petrobras Sans" w:hAnsi="Petrobras Sans"/>
        </w:rPr>
        <w:t>n deep and ultradeep water assets, where it has shown a great competitive differential over the years, producing better quality oil and with lower greenhouse gas emissions.</w:t>
      </w:r>
    </w:p>
    <w:p w14:paraId="5B15DC8A" w14:textId="77777777" w:rsidR="0025265F" w:rsidRPr="00814CD1" w:rsidRDefault="0025265F" w:rsidP="0025265F">
      <w:pPr>
        <w:rPr>
          <w:rFonts w:ascii="Petrobras Sans" w:hAnsi="Petrobras Sans"/>
          <w:color w:val="FF0000"/>
        </w:rPr>
      </w:pPr>
    </w:p>
    <w:p w14:paraId="70BA73F8" w14:textId="77777777" w:rsidR="0025265F" w:rsidRPr="00814CD1" w:rsidRDefault="0025265F" w:rsidP="0025265F">
      <w:pPr>
        <w:rPr>
          <w:rFonts w:ascii="Petrobras Sans" w:hAnsi="Petrobras Sans"/>
          <w:color w:val="FF0000"/>
        </w:rPr>
      </w:pPr>
    </w:p>
    <w:p w14:paraId="0D48D715" w14:textId="0678788E" w:rsidR="00814CD1" w:rsidRPr="000F0416" w:rsidRDefault="00814CD1" w:rsidP="0025265F">
      <w:pPr>
        <w:jc w:val="both"/>
        <w:rPr>
          <w:rFonts w:ascii="Petrobras Sans" w:hAnsi="Petrobras Sans"/>
          <w:b/>
          <w:bCs/>
        </w:rPr>
      </w:pPr>
      <w:r w:rsidRPr="000F0416">
        <w:rPr>
          <w:rFonts w:ascii="Petrobras Sans" w:hAnsi="Petrobras Sans"/>
          <w:b/>
          <w:bCs/>
        </w:rPr>
        <w:lastRenderedPageBreak/>
        <w:t>Revision of the 2022 production target</w:t>
      </w:r>
    </w:p>
    <w:p w14:paraId="64FDACB4" w14:textId="61B44379" w:rsidR="00814CD1" w:rsidRDefault="00814CD1" w:rsidP="0025265F">
      <w:pPr>
        <w:jc w:val="both"/>
        <w:rPr>
          <w:rFonts w:ascii="Petrobras Sans" w:hAnsi="Petrobras Sans"/>
        </w:rPr>
      </w:pPr>
      <w:r w:rsidRPr="00814CD1">
        <w:rPr>
          <w:rFonts w:ascii="Petrobras Sans" w:hAnsi="Petrobras Sans"/>
        </w:rPr>
        <w:t xml:space="preserve">Following up on the release disclosed on December 17, 2021, </w:t>
      </w:r>
      <w:r w:rsidR="009B32F0">
        <w:rPr>
          <w:rFonts w:ascii="Petrobras Sans" w:hAnsi="Petrobras Sans"/>
        </w:rPr>
        <w:t>Petrobras</w:t>
      </w:r>
      <w:r w:rsidRPr="00814CD1">
        <w:rPr>
          <w:rFonts w:ascii="Petrobras Sans" w:hAnsi="Petrobras Sans"/>
        </w:rPr>
        <w:t xml:space="preserve"> inform</w:t>
      </w:r>
      <w:r w:rsidR="009B32F0">
        <w:rPr>
          <w:rFonts w:ascii="Petrobras Sans" w:hAnsi="Petrobras Sans"/>
        </w:rPr>
        <w:t>s</w:t>
      </w:r>
      <w:r w:rsidRPr="00814CD1">
        <w:rPr>
          <w:rFonts w:ascii="Petrobras Sans" w:hAnsi="Petrobras Sans"/>
        </w:rPr>
        <w:t xml:space="preserve"> the revision of the oil and gas production target for 2022 to reflect the effect of the result of the 2</w:t>
      </w:r>
      <w:r w:rsidRPr="00814CD1">
        <w:rPr>
          <w:rFonts w:ascii="Petrobras Sans" w:hAnsi="Petrobras Sans"/>
          <w:vertAlign w:val="superscript"/>
        </w:rPr>
        <w:t>nd</w:t>
      </w:r>
      <w:r w:rsidRPr="00814CD1">
        <w:rPr>
          <w:rFonts w:ascii="Petrobras Sans" w:hAnsi="Petrobras Sans"/>
        </w:rPr>
        <w:t xml:space="preserve"> Round of Bids for the Transfer of Rights</w:t>
      </w:r>
      <w:r w:rsidR="009B32F0">
        <w:rPr>
          <w:rFonts w:ascii="Petrobras Sans" w:hAnsi="Petrobras Sans"/>
        </w:rPr>
        <w:t xml:space="preserve"> Surplus</w:t>
      </w:r>
      <w:r w:rsidRPr="00814CD1">
        <w:rPr>
          <w:rFonts w:ascii="Petrobras Sans" w:hAnsi="Petrobras Sans"/>
        </w:rPr>
        <w:t xml:space="preserve"> under the Production Sharing Regime.</w:t>
      </w:r>
    </w:p>
    <w:p w14:paraId="391C3DF2" w14:textId="06335069" w:rsidR="00B42FCB" w:rsidRPr="00814CD1" w:rsidRDefault="00B42FCB" w:rsidP="0025265F">
      <w:pPr>
        <w:jc w:val="both"/>
        <w:rPr>
          <w:rFonts w:ascii="Petrobras Sans" w:hAnsi="Petrobras Sans"/>
        </w:rPr>
      </w:pPr>
      <w:r w:rsidRPr="00B42FCB">
        <w:rPr>
          <w:rFonts w:ascii="Petrobras Sans" w:hAnsi="Petrobras Sans"/>
        </w:rPr>
        <w:t xml:space="preserve">With the start of the effectiveness of the Production Sharing Regime in Atapu and Sepia, scheduled for early May 2022, the shares of each party in the shared fields, including the portions of the </w:t>
      </w:r>
      <w:r>
        <w:rPr>
          <w:rFonts w:ascii="Petrobras Sans" w:hAnsi="Petrobras Sans"/>
        </w:rPr>
        <w:t>Transfer of Rights</w:t>
      </w:r>
      <w:r w:rsidRPr="00B42FCB">
        <w:rPr>
          <w:rFonts w:ascii="Petrobras Sans" w:hAnsi="Petrobras Sans"/>
        </w:rPr>
        <w:t xml:space="preserve"> Agreement and the Concession Agreements, will become:</w:t>
      </w:r>
    </w:p>
    <w:p w14:paraId="76ACC734" w14:textId="79A08E3A" w:rsidR="0025265F" w:rsidRPr="000F0416" w:rsidRDefault="0025265F" w:rsidP="0025265F">
      <w:pPr>
        <w:jc w:val="both"/>
        <w:rPr>
          <w:rFonts w:ascii="Petrobras Sans" w:hAnsi="Petrobras Sans"/>
          <w:color w:val="FF0000"/>
        </w:rPr>
      </w:pPr>
    </w:p>
    <w:tbl>
      <w:tblPr>
        <w:tblStyle w:val="Tabelacomgrade"/>
        <w:tblW w:w="0" w:type="auto"/>
        <w:jc w:val="center"/>
        <w:tblLook w:val="04A0" w:firstRow="1" w:lastRow="0" w:firstColumn="1" w:lastColumn="0" w:noHBand="0" w:noVBand="1"/>
      </w:tblPr>
      <w:tblGrid>
        <w:gridCol w:w="2405"/>
        <w:gridCol w:w="2268"/>
      </w:tblGrid>
      <w:tr w:rsidR="0025265F" w:rsidRPr="00526B84" w14:paraId="39FACF01" w14:textId="77777777" w:rsidTr="00CE3881">
        <w:trPr>
          <w:jc w:val="center"/>
        </w:trPr>
        <w:tc>
          <w:tcPr>
            <w:tcW w:w="4673" w:type="dxa"/>
            <w:gridSpan w:val="2"/>
            <w:tcBorders>
              <w:top w:val="single" w:sz="4" w:space="0" w:color="auto"/>
              <w:left w:val="single" w:sz="4" w:space="0" w:color="auto"/>
              <w:bottom w:val="single" w:sz="4" w:space="0" w:color="auto"/>
              <w:right w:val="single" w:sz="4" w:space="0" w:color="auto"/>
            </w:tcBorders>
            <w:vAlign w:val="center"/>
            <w:hideMark/>
          </w:tcPr>
          <w:p w14:paraId="5D62FFC3" w14:textId="77777777" w:rsidR="0025265F" w:rsidRPr="00526B84" w:rsidRDefault="0025265F" w:rsidP="00CE3881">
            <w:pPr>
              <w:jc w:val="center"/>
              <w:rPr>
                <w:rFonts w:ascii="Petrobras Sans" w:hAnsi="Petrobras Sans"/>
                <w:b/>
                <w:bCs/>
              </w:rPr>
            </w:pPr>
            <w:r w:rsidRPr="00526B84">
              <w:rPr>
                <w:rFonts w:ascii="Petrobras Sans" w:hAnsi="Petrobras Sans"/>
                <w:b/>
                <w:bCs/>
              </w:rPr>
              <w:t>Atapu</w:t>
            </w:r>
          </w:p>
        </w:tc>
      </w:tr>
      <w:tr w:rsidR="0025265F" w:rsidRPr="00526B84" w14:paraId="172E9C89" w14:textId="77777777" w:rsidTr="00CE3881">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65E43A2B" w14:textId="3D3AE443" w:rsidR="0025265F" w:rsidRPr="00526B84" w:rsidRDefault="0025265F" w:rsidP="00CE3881">
            <w:pPr>
              <w:jc w:val="center"/>
              <w:rPr>
                <w:rFonts w:ascii="Petrobras Sans" w:hAnsi="Petrobras Sans"/>
                <w:b/>
                <w:bCs/>
              </w:rPr>
            </w:pPr>
            <w:bookmarkStart w:id="1" w:name="_Hlk91594466"/>
            <w:r w:rsidRPr="00526B84">
              <w:rPr>
                <w:rFonts w:ascii="Petrobras Sans" w:hAnsi="Petrobras Sans"/>
                <w:b/>
                <w:bCs/>
              </w:rPr>
              <w:t>Part</w:t>
            </w:r>
            <w:r w:rsidR="00B42FCB">
              <w:rPr>
                <w:rFonts w:ascii="Petrobras Sans" w:hAnsi="Petrobras Sans"/>
                <w:b/>
                <w:bCs/>
              </w:rPr>
              <w:t>ners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F987788" w14:textId="7B576CF9" w:rsidR="0025265F" w:rsidRPr="00535F0A" w:rsidRDefault="00535F0A" w:rsidP="00CE3881">
            <w:pPr>
              <w:jc w:val="center"/>
              <w:rPr>
                <w:rFonts w:ascii="Petrobras Sans" w:hAnsi="Petrobras Sans"/>
                <w:b/>
                <w:bCs/>
                <w:lang w:val="en-US"/>
              </w:rPr>
            </w:pPr>
            <w:r>
              <w:rPr>
                <w:rFonts w:ascii="Petrobras Sans" w:hAnsi="Petrobras Sans"/>
                <w:b/>
                <w:bCs/>
                <w:lang w:val="en-US"/>
              </w:rPr>
              <w:t>Stake</w:t>
            </w:r>
            <w:r w:rsidRPr="00535F0A">
              <w:rPr>
                <w:rFonts w:ascii="Petrobras Sans" w:hAnsi="Petrobras Sans"/>
                <w:b/>
                <w:bCs/>
                <w:lang w:val="en-US"/>
              </w:rPr>
              <w:t xml:space="preserve"> in the shared deposit</w:t>
            </w:r>
          </w:p>
        </w:tc>
      </w:tr>
      <w:tr w:rsidR="0025265F" w:rsidRPr="00526B84" w14:paraId="7244AE5F" w14:textId="77777777" w:rsidTr="00CE3881">
        <w:trPr>
          <w:jc w:val="center"/>
        </w:trPr>
        <w:tc>
          <w:tcPr>
            <w:tcW w:w="2405" w:type="dxa"/>
            <w:tcBorders>
              <w:top w:val="single" w:sz="4" w:space="0" w:color="auto"/>
              <w:left w:val="single" w:sz="4" w:space="0" w:color="auto"/>
              <w:bottom w:val="single" w:sz="4" w:space="0" w:color="auto"/>
              <w:right w:val="single" w:sz="4" w:space="0" w:color="auto"/>
            </w:tcBorders>
            <w:hideMark/>
          </w:tcPr>
          <w:p w14:paraId="7237FE9F" w14:textId="2CB6BD58" w:rsidR="0025265F" w:rsidRPr="00526B84" w:rsidRDefault="0025265F" w:rsidP="00CE3881">
            <w:pPr>
              <w:rPr>
                <w:rFonts w:ascii="Petrobras Sans" w:hAnsi="Petrobras Sans"/>
              </w:rPr>
            </w:pPr>
            <w:r w:rsidRPr="00526B84">
              <w:rPr>
                <w:rFonts w:ascii="Petrobras Sans" w:hAnsi="Petrobras Sans"/>
              </w:rPr>
              <w:t>Petrobras (oper</w:t>
            </w:r>
            <w:r w:rsidR="00535F0A">
              <w:rPr>
                <w:rFonts w:ascii="Petrobras Sans" w:hAnsi="Petrobras Sans"/>
              </w:rPr>
              <w:t>ator</w:t>
            </w:r>
            <w:r w:rsidRPr="00526B84">
              <w:rPr>
                <w:rFonts w:ascii="Petrobras Sans" w:hAnsi="Petrobras Sans"/>
              </w:rPr>
              <w:t>)</w:t>
            </w:r>
          </w:p>
        </w:tc>
        <w:tc>
          <w:tcPr>
            <w:tcW w:w="2268" w:type="dxa"/>
            <w:tcBorders>
              <w:top w:val="single" w:sz="4" w:space="0" w:color="auto"/>
              <w:left w:val="single" w:sz="4" w:space="0" w:color="auto"/>
              <w:bottom w:val="single" w:sz="4" w:space="0" w:color="auto"/>
              <w:right w:val="single" w:sz="4" w:space="0" w:color="auto"/>
            </w:tcBorders>
            <w:hideMark/>
          </w:tcPr>
          <w:p w14:paraId="69300535" w14:textId="68A1D8AD" w:rsidR="0025265F" w:rsidRPr="00526B84" w:rsidRDefault="0025265F" w:rsidP="00CE3881">
            <w:pPr>
              <w:jc w:val="center"/>
              <w:rPr>
                <w:rFonts w:ascii="Petrobras Sans" w:hAnsi="Petrobras Sans"/>
              </w:rPr>
            </w:pPr>
            <w:r w:rsidRPr="00526B84">
              <w:rPr>
                <w:rFonts w:ascii="Petrobras Sans" w:hAnsi="Petrobras Sans"/>
              </w:rPr>
              <w:t>65</w:t>
            </w:r>
            <w:r w:rsidR="00535F0A">
              <w:rPr>
                <w:rFonts w:ascii="Petrobras Sans" w:hAnsi="Petrobras Sans"/>
              </w:rPr>
              <w:t>.</w:t>
            </w:r>
            <w:r w:rsidRPr="00526B84">
              <w:rPr>
                <w:rFonts w:ascii="Petrobras Sans" w:hAnsi="Petrobras Sans"/>
              </w:rPr>
              <w:t>69%</w:t>
            </w:r>
          </w:p>
        </w:tc>
      </w:tr>
      <w:tr w:rsidR="0025265F" w:rsidRPr="00526B84" w14:paraId="1801394A" w14:textId="77777777" w:rsidTr="00CE3881">
        <w:trPr>
          <w:jc w:val="center"/>
        </w:trPr>
        <w:tc>
          <w:tcPr>
            <w:tcW w:w="2405" w:type="dxa"/>
            <w:tcBorders>
              <w:top w:val="single" w:sz="4" w:space="0" w:color="auto"/>
              <w:left w:val="single" w:sz="4" w:space="0" w:color="auto"/>
              <w:bottom w:val="single" w:sz="4" w:space="0" w:color="auto"/>
              <w:right w:val="single" w:sz="4" w:space="0" w:color="auto"/>
            </w:tcBorders>
            <w:hideMark/>
          </w:tcPr>
          <w:p w14:paraId="4FE276D6" w14:textId="77777777" w:rsidR="0025265F" w:rsidRPr="00526B84" w:rsidRDefault="0025265F" w:rsidP="00CE3881">
            <w:pPr>
              <w:rPr>
                <w:rFonts w:ascii="Petrobras Sans" w:hAnsi="Petrobras Sans"/>
              </w:rPr>
            </w:pPr>
            <w:r w:rsidRPr="00526B84">
              <w:rPr>
                <w:rFonts w:ascii="Petrobras Sans" w:hAnsi="Petrobras Sans"/>
              </w:rPr>
              <w:t>Shell Brasil</w:t>
            </w:r>
          </w:p>
        </w:tc>
        <w:tc>
          <w:tcPr>
            <w:tcW w:w="2268" w:type="dxa"/>
            <w:tcBorders>
              <w:top w:val="single" w:sz="4" w:space="0" w:color="auto"/>
              <w:left w:val="single" w:sz="4" w:space="0" w:color="auto"/>
              <w:bottom w:val="single" w:sz="4" w:space="0" w:color="auto"/>
              <w:right w:val="single" w:sz="4" w:space="0" w:color="auto"/>
            </w:tcBorders>
            <w:hideMark/>
          </w:tcPr>
          <w:p w14:paraId="3DF5C131" w14:textId="77777777" w:rsidR="0025265F" w:rsidRPr="00526B84" w:rsidRDefault="0025265F" w:rsidP="00CE3881">
            <w:pPr>
              <w:jc w:val="center"/>
              <w:rPr>
                <w:rFonts w:ascii="Petrobras Sans" w:hAnsi="Petrobras Sans"/>
              </w:rPr>
            </w:pPr>
            <w:r w:rsidRPr="00526B84">
              <w:rPr>
                <w:rFonts w:ascii="Petrobras Sans" w:hAnsi="Petrobras Sans"/>
              </w:rPr>
              <w:t>16,66%</w:t>
            </w:r>
          </w:p>
        </w:tc>
      </w:tr>
      <w:tr w:rsidR="0025265F" w:rsidRPr="00526B84" w14:paraId="28DA9B05" w14:textId="77777777" w:rsidTr="00CE3881">
        <w:trPr>
          <w:jc w:val="center"/>
        </w:trPr>
        <w:tc>
          <w:tcPr>
            <w:tcW w:w="2405" w:type="dxa"/>
            <w:tcBorders>
              <w:top w:val="single" w:sz="4" w:space="0" w:color="auto"/>
              <w:left w:val="single" w:sz="4" w:space="0" w:color="auto"/>
              <w:bottom w:val="single" w:sz="4" w:space="0" w:color="auto"/>
              <w:right w:val="single" w:sz="4" w:space="0" w:color="auto"/>
            </w:tcBorders>
            <w:hideMark/>
          </w:tcPr>
          <w:p w14:paraId="01FF801D" w14:textId="77777777" w:rsidR="0025265F" w:rsidRPr="00526B84" w:rsidRDefault="0025265F" w:rsidP="00CE3881">
            <w:pPr>
              <w:rPr>
                <w:rFonts w:ascii="Petrobras Sans" w:hAnsi="Petrobras Sans"/>
              </w:rPr>
            </w:pPr>
            <w:r w:rsidRPr="00526B84">
              <w:rPr>
                <w:rFonts w:ascii="Petrobras Sans" w:hAnsi="Petrobras Sans"/>
              </w:rPr>
              <w:t>TotalEnergies EP</w:t>
            </w:r>
          </w:p>
        </w:tc>
        <w:tc>
          <w:tcPr>
            <w:tcW w:w="2268" w:type="dxa"/>
            <w:tcBorders>
              <w:top w:val="single" w:sz="4" w:space="0" w:color="auto"/>
              <w:left w:val="single" w:sz="4" w:space="0" w:color="auto"/>
              <w:bottom w:val="single" w:sz="4" w:space="0" w:color="auto"/>
              <w:right w:val="single" w:sz="4" w:space="0" w:color="auto"/>
            </w:tcBorders>
            <w:hideMark/>
          </w:tcPr>
          <w:p w14:paraId="41E27CCD" w14:textId="095067E4" w:rsidR="0025265F" w:rsidRPr="00526B84" w:rsidRDefault="0025265F" w:rsidP="00CE3881">
            <w:pPr>
              <w:jc w:val="center"/>
              <w:rPr>
                <w:rFonts w:ascii="Petrobras Sans" w:hAnsi="Petrobras Sans"/>
              </w:rPr>
            </w:pPr>
            <w:r w:rsidRPr="00526B84">
              <w:rPr>
                <w:rFonts w:ascii="Petrobras Sans" w:hAnsi="Petrobras Sans"/>
              </w:rPr>
              <w:t>15</w:t>
            </w:r>
            <w:r w:rsidR="00535F0A">
              <w:rPr>
                <w:rFonts w:ascii="Petrobras Sans" w:hAnsi="Petrobras Sans"/>
              </w:rPr>
              <w:t>.</w:t>
            </w:r>
            <w:r w:rsidRPr="00526B84">
              <w:rPr>
                <w:rFonts w:ascii="Petrobras Sans" w:hAnsi="Petrobras Sans"/>
              </w:rPr>
              <w:t>00%</w:t>
            </w:r>
          </w:p>
        </w:tc>
      </w:tr>
      <w:tr w:rsidR="0025265F" w:rsidRPr="00526B84" w14:paraId="576406AC" w14:textId="77777777" w:rsidTr="00CE3881">
        <w:trPr>
          <w:jc w:val="center"/>
        </w:trPr>
        <w:tc>
          <w:tcPr>
            <w:tcW w:w="2405" w:type="dxa"/>
            <w:tcBorders>
              <w:top w:val="single" w:sz="4" w:space="0" w:color="auto"/>
              <w:left w:val="single" w:sz="4" w:space="0" w:color="auto"/>
              <w:bottom w:val="single" w:sz="4" w:space="0" w:color="auto"/>
              <w:right w:val="single" w:sz="4" w:space="0" w:color="auto"/>
            </w:tcBorders>
            <w:hideMark/>
          </w:tcPr>
          <w:p w14:paraId="6579D16D" w14:textId="77777777" w:rsidR="0025265F" w:rsidRPr="00526B84" w:rsidRDefault="0025265F" w:rsidP="00CE3881">
            <w:pPr>
              <w:rPr>
                <w:rFonts w:ascii="Petrobras Sans" w:hAnsi="Petrobras Sans"/>
              </w:rPr>
            </w:pPr>
            <w:r w:rsidRPr="00526B84">
              <w:rPr>
                <w:rFonts w:ascii="Petrobras Sans" w:hAnsi="Petrobras Sans"/>
              </w:rPr>
              <w:t>Petrogal Brasil</w:t>
            </w:r>
          </w:p>
        </w:tc>
        <w:tc>
          <w:tcPr>
            <w:tcW w:w="2268" w:type="dxa"/>
            <w:tcBorders>
              <w:top w:val="single" w:sz="4" w:space="0" w:color="auto"/>
              <w:left w:val="single" w:sz="4" w:space="0" w:color="auto"/>
              <w:bottom w:val="single" w:sz="4" w:space="0" w:color="auto"/>
              <w:right w:val="single" w:sz="4" w:space="0" w:color="auto"/>
            </w:tcBorders>
            <w:hideMark/>
          </w:tcPr>
          <w:p w14:paraId="0D642ECC" w14:textId="77418FDB" w:rsidR="0025265F" w:rsidRPr="00526B84" w:rsidRDefault="0025265F" w:rsidP="00CE3881">
            <w:pPr>
              <w:jc w:val="center"/>
              <w:rPr>
                <w:rFonts w:ascii="Petrobras Sans" w:hAnsi="Petrobras Sans"/>
              </w:rPr>
            </w:pPr>
            <w:r w:rsidRPr="00526B84">
              <w:rPr>
                <w:rFonts w:ascii="Petrobras Sans" w:hAnsi="Petrobras Sans"/>
              </w:rPr>
              <w:t>1</w:t>
            </w:r>
            <w:r w:rsidR="00535F0A">
              <w:rPr>
                <w:rFonts w:ascii="Petrobras Sans" w:hAnsi="Petrobras Sans"/>
              </w:rPr>
              <w:t>.</w:t>
            </w:r>
            <w:r w:rsidRPr="00526B84">
              <w:rPr>
                <w:rFonts w:ascii="Petrobras Sans" w:hAnsi="Petrobras Sans"/>
              </w:rPr>
              <w:t>70%</w:t>
            </w:r>
          </w:p>
        </w:tc>
      </w:tr>
      <w:tr w:rsidR="0025265F" w:rsidRPr="00526B84" w14:paraId="746EB389" w14:textId="77777777" w:rsidTr="00CE3881">
        <w:trPr>
          <w:jc w:val="center"/>
        </w:trPr>
        <w:tc>
          <w:tcPr>
            <w:tcW w:w="2405" w:type="dxa"/>
            <w:tcBorders>
              <w:top w:val="single" w:sz="4" w:space="0" w:color="auto"/>
              <w:left w:val="single" w:sz="4" w:space="0" w:color="auto"/>
              <w:bottom w:val="single" w:sz="4" w:space="0" w:color="auto"/>
              <w:right w:val="single" w:sz="4" w:space="0" w:color="auto"/>
            </w:tcBorders>
            <w:hideMark/>
          </w:tcPr>
          <w:p w14:paraId="3360E806" w14:textId="77777777" w:rsidR="0025265F" w:rsidRPr="00526B84" w:rsidRDefault="0025265F" w:rsidP="00CE3881">
            <w:pPr>
              <w:rPr>
                <w:rFonts w:ascii="Petrobras Sans" w:hAnsi="Petrobras Sans"/>
              </w:rPr>
            </w:pPr>
            <w:r w:rsidRPr="00526B84">
              <w:rPr>
                <w:rFonts w:ascii="Petrobras Sans" w:hAnsi="Petrobras Sans"/>
              </w:rPr>
              <w:t>Pré-sal Petróleo – PPSA</w:t>
            </w:r>
          </w:p>
        </w:tc>
        <w:tc>
          <w:tcPr>
            <w:tcW w:w="2268" w:type="dxa"/>
            <w:tcBorders>
              <w:top w:val="single" w:sz="4" w:space="0" w:color="auto"/>
              <w:left w:val="single" w:sz="4" w:space="0" w:color="auto"/>
              <w:bottom w:val="single" w:sz="4" w:space="0" w:color="auto"/>
              <w:right w:val="single" w:sz="4" w:space="0" w:color="auto"/>
            </w:tcBorders>
            <w:hideMark/>
          </w:tcPr>
          <w:p w14:paraId="27B20B78" w14:textId="00828E5E" w:rsidR="0025265F" w:rsidRPr="00526B84" w:rsidRDefault="0025265F" w:rsidP="00CE3881">
            <w:pPr>
              <w:jc w:val="center"/>
              <w:rPr>
                <w:rFonts w:ascii="Petrobras Sans" w:hAnsi="Petrobras Sans"/>
              </w:rPr>
            </w:pPr>
            <w:r w:rsidRPr="00526B84">
              <w:rPr>
                <w:rFonts w:ascii="Petrobras Sans" w:hAnsi="Petrobras Sans"/>
              </w:rPr>
              <w:t>0</w:t>
            </w:r>
            <w:r w:rsidR="00535F0A">
              <w:rPr>
                <w:rFonts w:ascii="Petrobras Sans" w:hAnsi="Petrobras Sans"/>
              </w:rPr>
              <w:t>.</w:t>
            </w:r>
            <w:r w:rsidRPr="00526B84">
              <w:rPr>
                <w:rFonts w:ascii="Petrobras Sans" w:hAnsi="Petrobras Sans"/>
              </w:rPr>
              <w:t>95%</w:t>
            </w:r>
          </w:p>
        </w:tc>
      </w:tr>
      <w:bookmarkEnd w:id="1"/>
    </w:tbl>
    <w:p w14:paraId="55EA90C5" w14:textId="77777777" w:rsidR="0025265F" w:rsidRPr="00526B84" w:rsidRDefault="0025265F" w:rsidP="0025265F">
      <w:pPr>
        <w:rPr>
          <w:rFonts w:ascii="Petrobras Sans" w:hAnsi="Petrobras Sans"/>
        </w:rPr>
      </w:pPr>
    </w:p>
    <w:p w14:paraId="22C0B51A" w14:textId="77777777" w:rsidR="0025265F" w:rsidRPr="00526B84" w:rsidRDefault="0025265F" w:rsidP="0025265F">
      <w:pPr>
        <w:rPr>
          <w:rFonts w:ascii="Petrobras Sans" w:hAnsi="Petrobras Sans"/>
        </w:rPr>
      </w:pPr>
    </w:p>
    <w:tbl>
      <w:tblPr>
        <w:tblStyle w:val="Tabelacomgrade"/>
        <w:tblW w:w="0" w:type="auto"/>
        <w:jc w:val="center"/>
        <w:tblLook w:val="04A0" w:firstRow="1" w:lastRow="0" w:firstColumn="1" w:lastColumn="0" w:noHBand="0" w:noVBand="1"/>
      </w:tblPr>
      <w:tblGrid>
        <w:gridCol w:w="2405"/>
        <w:gridCol w:w="2268"/>
      </w:tblGrid>
      <w:tr w:rsidR="0025265F" w:rsidRPr="00526B84" w14:paraId="041D7D39" w14:textId="77777777" w:rsidTr="00CE3881">
        <w:trPr>
          <w:jc w:val="center"/>
        </w:trPr>
        <w:tc>
          <w:tcPr>
            <w:tcW w:w="4673" w:type="dxa"/>
            <w:gridSpan w:val="2"/>
            <w:tcBorders>
              <w:top w:val="single" w:sz="4" w:space="0" w:color="auto"/>
              <w:left w:val="single" w:sz="4" w:space="0" w:color="auto"/>
              <w:bottom w:val="single" w:sz="4" w:space="0" w:color="auto"/>
              <w:right w:val="single" w:sz="4" w:space="0" w:color="auto"/>
            </w:tcBorders>
            <w:vAlign w:val="center"/>
            <w:hideMark/>
          </w:tcPr>
          <w:p w14:paraId="55F070A0" w14:textId="77777777" w:rsidR="0025265F" w:rsidRPr="00526B84" w:rsidRDefault="0025265F" w:rsidP="00CE3881">
            <w:pPr>
              <w:jc w:val="center"/>
              <w:rPr>
                <w:rFonts w:ascii="Petrobras Sans" w:hAnsi="Petrobras Sans"/>
                <w:b/>
                <w:bCs/>
              </w:rPr>
            </w:pPr>
            <w:r w:rsidRPr="00526B84">
              <w:rPr>
                <w:rFonts w:ascii="Petrobras Sans" w:hAnsi="Petrobras Sans"/>
                <w:b/>
                <w:bCs/>
              </w:rPr>
              <w:t>Sépia</w:t>
            </w:r>
          </w:p>
        </w:tc>
      </w:tr>
      <w:tr w:rsidR="0025265F" w:rsidRPr="00526B84" w14:paraId="299A9541" w14:textId="77777777" w:rsidTr="00CE3881">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7A59B80A" w14:textId="3A2C4B44" w:rsidR="0025265F" w:rsidRPr="00526B84" w:rsidRDefault="00535F0A" w:rsidP="00CE3881">
            <w:pPr>
              <w:jc w:val="center"/>
              <w:rPr>
                <w:rFonts w:ascii="Petrobras Sans" w:hAnsi="Petrobras Sans"/>
                <w:b/>
                <w:bCs/>
              </w:rPr>
            </w:pPr>
            <w:r w:rsidRPr="00526B84">
              <w:rPr>
                <w:rFonts w:ascii="Petrobras Sans" w:hAnsi="Petrobras Sans"/>
                <w:b/>
                <w:bCs/>
              </w:rPr>
              <w:t>Part</w:t>
            </w:r>
            <w:r>
              <w:rPr>
                <w:rFonts w:ascii="Petrobras Sans" w:hAnsi="Petrobras Sans"/>
                <w:b/>
                <w:bCs/>
              </w:rPr>
              <w:t>ners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EF64AA5" w14:textId="1F4841A8" w:rsidR="0025265F" w:rsidRPr="00535F0A" w:rsidRDefault="00535F0A" w:rsidP="00CE3881">
            <w:pPr>
              <w:jc w:val="center"/>
              <w:rPr>
                <w:rFonts w:ascii="Petrobras Sans" w:hAnsi="Petrobras Sans"/>
                <w:b/>
                <w:bCs/>
                <w:lang w:val="en-US"/>
              </w:rPr>
            </w:pPr>
            <w:r>
              <w:rPr>
                <w:rFonts w:ascii="Petrobras Sans" w:hAnsi="Petrobras Sans"/>
                <w:b/>
                <w:bCs/>
                <w:lang w:val="en-US"/>
              </w:rPr>
              <w:t>Stake</w:t>
            </w:r>
            <w:r w:rsidRPr="00535F0A">
              <w:rPr>
                <w:rFonts w:ascii="Petrobras Sans" w:hAnsi="Petrobras Sans"/>
                <w:b/>
                <w:bCs/>
                <w:lang w:val="en-US"/>
              </w:rPr>
              <w:t xml:space="preserve"> in the shared deposit</w:t>
            </w:r>
          </w:p>
        </w:tc>
      </w:tr>
      <w:tr w:rsidR="0025265F" w:rsidRPr="00526B84" w14:paraId="2F415DAB" w14:textId="77777777" w:rsidTr="00CE3881">
        <w:trPr>
          <w:jc w:val="center"/>
        </w:trPr>
        <w:tc>
          <w:tcPr>
            <w:tcW w:w="2405" w:type="dxa"/>
            <w:tcBorders>
              <w:top w:val="single" w:sz="4" w:space="0" w:color="auto"/>
              <w:left w:val="single" w:sz="4" w:space="0" w:color="auto"/>
              <w:bottom w:val="single" w:sz="4" w:space="0" w:color="auto"/>
              <w:right w:val="single" w:sz="4" w:space="0" w:color="auto"/>
            </w:tcBorders>
            <w:hideMark/>
          </w:tcPr>
          <w:p w14:paraId="2A5C9503" w14:textId="30257F38" w:rsidR="0025265F" w:rsidRPr="00526B84" w:rsidRDefault="0025265F" w:rsidP="00CE3881">
            <w:pPr>
              <w:rPr>
                <w:rFonts w:ascii="Petrobras Sans" w:hAnsi="Petrobras Sans"/>
              </w:rPr>
            </w:pPr>
            <w:r w:rsidRPr="00526B84">
              <w:rPr>
                <w:rFonts w:ascii="Petrobras Sans" w:hAnsi="Petrobras Sans"/>
              </w:rPr>
              <w:t>Petrobras (opera</w:t>
            </w:r>
            <w:r w:rsidR="00535F0A">
              <w:rPr>
                <w:rFonts w:ascii="Petrobras Sans" w:hAnsi="Petrobras Sans"/>
              </w:rPr>
              <w:t>tor</w:t>
            </w:r>
            <w:r w:rsidRPr="00526B84">
              <w:rPr>
                <w:rFonts w:ascii="Petrobras Sans" w:hAnsi="Petrobras Sans"/>
              </w:rPr>
              <w:t>)</w:t>
            </w:r>
          </w:p>
        </w:tc>
        <w:tc>
          <w:tcPr>
            <w:tcW w:w="2268" w:type="dxa"/>
            <w:tcBorders>
              <w:top w:val="single" w:sz="4" w:space="0" w:color="auto"/>
              <w:left w:val="single" w:sz="4" w:space="0" w:color="auto"/>
              <w:bottom w:val="single" w:sz="4" w:space="0" w:color="auto"/>
              <w:right w:val="single" w:sz="4" w:space="0" w:color="auto"/>
            </w:tcBorders>
            <w:hideMark/>
          </w:tcPr>
          <w:p w14:paraId="3CCD68FC" w14:textId="02DCBC39" w:rsidR="0025265F" w:rsidRPr="00526B84" w:rsidRDefault="0025265F" w:rsidP="00CE3881">
            <w:pPr>
              <w:jc w:val="center"/>
              <w:rPr>
                <w:rFonts w:ascii="Petrobras Sans" w:hAnsi="Petrobras Sans"/>
              </w:rPr>
            </w:pPr>
            <w:r w:rsidRPr="00526B84">
              <w:rPr>
                <w:rFonts w:ascii="Petrobras Sans" w:hAnsi="Petrobras Sans"/>
              </w:rPr>
              <w:t>55</w:t>
            </w:r>
            <w:r w:rsidR="00535F0A">
              <w:rPr>
                <w:rFonts w:ascii="Petrobras Sans" w:hAnsi="Petrobras Sans"/>
              </w:rPr>
              <w:t>.</w:t>
            </w:r>
            <w:r w:rsidRPr="00526B84">
              <w:rPr>
                <w:rFonts w:ascii="Petrobras Sans" w:hAnsi="Petrobras Sans"/>
              </w:rPr>
              <w:t>30%</w:t>
            </w:r>
          </w:p>
        </w:tc>
      </w:tr>
      <w:tr w:rsidR="0025265F" w:rsidRPr="00526B84" w14:paraId="3A8E49CD" w14:textId="77777777" w:rsidTr="00CE3881">
        <w:trPr>
          <w:jc w:val="center"/>
        </w:trPr>
        <w:tc>
          <w:tcPr>
            <w:tcW w:w="2405" w:type="dxa"/>
            <w:tcBorders>
              <w:top w:val="single" w:sz="4" w:space="0" w:color="auto"/>
              <w:left w:val="single" w:sz="4" w:space="0" w:color="auto"/>
              <w:bottom w:val="single" w:sz="4" w:space="0" w:color="auto"/>
              <w:right w:val="single" w:sz="4" w:space="0" w:color="auto"/>
            </w:tcBorders>
            <w:hideMark/>
          </w:tcPr>
          <w:p w14:paraId="79B345F4" w14:textId="77777777" w:rsidR="0025265F" w:rsidRPr="00526B84" w:rsidRDefault="0025265F" w:rsidP="00CE3881">
            <w:pPr>
              <w:rPr>
                <w:rFonts w:ascii="Petrobras Sans" w:hAnsi="Petrobras Sans"/>
              </w:rPr>
            </w:pPr>
            <w:r w:rsidRPr="00526B84">
              <w:rPr>
                <w:rFonts w:ascii="Petrobras Sans" w:hAnsi="Petrobras Sans"/>
              </w:rPr>
              <w:t>TotalEnergies EP</w:t>
            </w:r>
          </w:p>
        </w:tc>
        <w:tc>
          <w:tcPr>
            <w:tcW w:w="2268" w:type="dxa"/>
            <w:tcBorders>
              <w:top w:val="single" w:sz="4" w:space="0" w:color="auto"/>
              <w:left w:val="single" w:sz="4" w:space="0" w:color="auto"/>
              <w:bottom w:val="single" w:sz="4" w:space="0" w:color="auto"/>
              <w:right w:val="single" w:sz="4" w:space="0" w:color="auto"/>
            </w:tcBorders>
            <w:hideMark/>
          </w:tcPr>
          <w:p w14:paraId="6D8FA3DD" w14:textId="138DF994" w:rsidR="0025265F" w:rsidRPr="00526B84" w:rsidRDefault="0025265F" w:rsidP="00CE3881">
            <w:pPr>
              <w:jc w:val="center"/>
              <w:rPr>
                <w:rFonts w:ascii="Petrobras Sans" w:hAnsi="Petrobras Sans"/>
              </w:rPr>
            </w:pPr>
            <w:r w:rsidRPr="00526B84">
              <w:rPr>
                <w:rFonts w:ascii="Petrobras Sans" w:hAnsi="Petrobras Sans"/>
              </w:rPr>
              <w:t>16</w:t>
            </w:r>
            <w:r w:rsidR="00535F0A">
              <w:rPr>
                <w:rFonts w:ascii="Petrobras Sans" w:hAnsi="Petrobras Sans"/>
              </w:rPr>
              <w:t>.</w:t>
            </w:r>
            <w:r w:rsidRPr="00526B84">
              <w:rPr>
                <w:rFonts w:ascii="Petrobras Sans" w:hAnsi="Petrobras Sans"/>
              </w:rPr>
              <w:t>91%</w:t>
            </w:r>
          </w:p>
        </w:tc>
      </w:tr>
      <w:tr w:rsidR="0025265F" w:rsidRPr="00526B84" w14:paraId="6B8B1973" w14:textId="77777777" w:rsidTr="00CE3881">
        <w:trPr>
          <w:jc w:val="center"/>
        </w:trPr>
        <w:tc>
          <w:tcPr>
            <w:tcW w:w="2405" w:type="dxa"/>
            <w:tcBorders>
              <w:top w:val="single" w:sz="4" w:space="0" w:color="auto"/>
              <w:left w:val="single" w:sz="4" w:space="0" w:color="auto"/>
              <w:bottom w:val="single" w:sz="4" w:space="0" w:color="auto"/>
              <w:right w:val="single" w:sz="4" w:space="0" w:color="auto"/>
            </w:tcBorders>
            <w:hideMark/>
          </w:tcPr>
          <w:p w14:paraId="7FB20254" w14:textId="77777777" w:rsidR="0025265F" w:rsidRPr="00526B84" w:rsidRDefault="0025265F" w:rsidP="00CE3881">
            <w:pPr>
              <w:rPr>
                <w:rFonts w:ascii="Petrobras Sans" w:hAnsi="Petrobras Sans"/>
              </w:rPr>
            </w:pPr>
            <w:r w:rsidRPr="00526B84">
              <w:rPr>
                <w:rFonts w:ascii="Petrobras Sans" w:hAnsi="Petrobras Sans"/>
              </w:rPr>
              <w:t>Petronas</w:t>
            </w:r>
          </w:p>
        </w:tc>
        <w:tc>
          <w:tcPr>
            <w:tcW w:w="2268" w:type="dxa"/>
            <w:tcBorders>
              <w:top w:val="single" w:sz="4" w:space="0" w:color="auto"/>
              <w:left w:val="single" w:sz="4" w:space="0" w:color="auto"/>
              <w:bottom w:val="single" w:sz="4" w:space="0" w:color="auto"/>
              <w:right w:val="single" w:sz="4" w:space="0" w:color="auto"/>
            </w:tcBorders>
            <w:hideMark/>
          </w:tcPr>
          <w:p w14:paraId="6B104DF1" w14:textId="1821A6EE" w:rsidR="0025265F" w:rsidRPr="00526B84" w:rsidRDefault="0025265F" w:rsidP="00CE3881">
            <w:pPr>
              <w:jc w:val="center"/>
              <w:rPr>
                <w:rFonts w:ascii="Petrobras Sans" w:hAnsi="Petrobras Sans"/>
              </w:rPr>
            </w:pPr>
            <w:r w:rsidRPr="00526B84">
              <w:rPr>
                <w:rFonts w:ascii="Petrobras Sans" w:hAnsi="Petrobras Sans"/>
              </w:rPr>
              <w:t>12</w:t>
            </w:r>
            <w:r w:rsidR="00535F0A">
              <w:rPr>
                <w:rFonts w:ascii="Petrobras Sans" w:hAnsi="Petrobras Sans"/>
              </w:rPr>
              <w:t>.</w:t>
            </w:r>
            <w:r w:rsidRPr="00526B84">
              <w:rPr>
                <w:rFonts w:ascii="Petrobras Sans" w:hAnsi="Petrobras Sans"/>
              </w:rPr>
              <w:t>69%</w:t>
            </w:r>
          </w:p>
        </w:tc>
      </w:tr>
      <w:tr w:rsidR="0025265F" w:rsidRPr="00526B84" w14:paraId="4BC3066E" w14:textId="77777777" w:rsidTr="00CE3881">
        <w:trPr>
          <w:jc w:val="center"/>
        </w:trPr>
        <w:tc>
          <w:tcPr>
            <w:tcW w:w="2405" w:type="dxa"/>
            <w:tcBorders>
              <w:top w:val="single" w:sz="4" w:space="0" w:color="auto"/>
              <w:left w:val="single" w:sz="4" w:space="0" w:color="auto"/>
              <w:bottom w:val="single" w:sz="4" w:space="0" w:color="auto"/>
              <w:right w:val="single" w:sz="4" w:space="0" w:color="auto"/>
            </w:tcBorders>
            <w:hideMark/>
          </w:tcPr>
          <w:p w14:paraId="525C3734" w14:textId="77777777" w:rsidR="0025265F" w:rsidRPr="00526B84" w:rsidRDefault="0025265F" w:rsidP="00CE3881">
            <w:pPr>
              <w:rPr>
                <w:rFonts w:ascii="Petrobras Sans" w:hAnsi="Petrobras Sans"/>
              </w:rPr>
            </w:pPr>
            <w:r w:rsidRPr="00526B84">
              <w:rPr>
                <w:rFonts w:ascii="Petrobras Sans" w:hAnsi="Petrobras Sans"/>
              </w:rPr>
              <w:t>QP Brasil</w:t>
            </w:r>
          </w:p>
        </w:tc>
        <w:tc>
          <w:tcPr>
            <w:tcW w:w="2268" w:type="dxa"/>
            <w:tcBorders>
              <w:top w:val="single" w:sz="4" w:space="0" w:color="auto"/>
              <w:left w:val="single" w:sz="4" w:space="0" w:color="auto"/>
              <w:bottom w:val="single" w:sz="4" w:space="0" w:color="auto"/>
              <w:right w:val="single" w:sz="4" w:space="0" w:color="auto"/>
            </w:tcBorders>
            <w:hideMark/>
          </w:tcPr>
          <w:p w14:paraId="36BEAB6B" w14:textId="4D700906" w:rsidR="0025265F" w:rsidRPr="00526B84" w:rsidRDefault="0025265F" w:rsidP="00CE3881">
            <w:pPr>
              <w:jc w:val="center"/>
              <w:rPr>
                <w:rFonts w:ascii="Petrobras Sans" w:hAnsi="Petrobras Sans"/>
              </w:rPr>
            </w:pPr>
            <w:r w:rsidRPr="00526B84">
              <w:rPr>
                <w:rFonts w:ascii="Petrobras Sans" w:hAnsi="Petrobras Sans"/>
              </w:rPr>
              <w:t>12</w:t>
            </w:r>
            <w:r w:rsidR="00535F0A">
              <w:rPr>
                <w:rFonts w:ascii="Petrobras Sans" w:hAnsi="Petrobras Sans"/>
              </w:rPr>
              <w:t>.</w:t>
            </w:r>
            <w:r w:rsidRPr="00526B84">
              <w:rPr>
                <w:rFonts w:ascii="Petrobras Sans" w:hAnsi="Petrobras Sans"/>
              </w:rPr>
              <w:t>69%</w:t>
            </w:r>
          </w:p>
        </w:tc>
      </w:tr>
      <w:tr w:rsidR="0025265F" w:rsidRPr="00526B84" w14:paraId="6B1C30ED" w14:textId="77777777" w:rsidTr="00CE3881">
        <w:trPr>
          <w:jc w:val="center"/>
        </w:trPr>
        <w:tc>
          <w:tcPr>
            <w:tcW w:w="2405" w:type="dxa"/>
            <w:tcBorders>
              <w:top w:val="single" w:sz="4" w:space="0" w:color="auto"/>
              <w:left w:val="single" w:sz="4" w:space="0" w:color="auto"/>
              <w:bottom w:val="single" w:sz="4" w:space="0" w:color="auto"/>
              <w:right w:val="single" w:sz="4" w:space="0" w:color="auto"/>
            </w:tcBorders>
            <w:hideMark/>
          </w:tcPr>
          <w:p w14:paraId="13DA8CA5" w14:textId="77777777" w:rsidR="0025265F" w:rsidRPr="00526B84" w:rsidRDefault="0025265F" w:rsidP="00CE3881">
            <w:pPr>
              <w:rPr>
                <w:rFonts w:ascii="Petrobras Sans" w:hAnsi="Petrobras Sans"/>
              </w:rPr>
            </w:pPr>
            <w:r w:rsidRPr="00526B84">
              <w:rPr>
                <w:rFonts w:ascii="Petrobras Sans" w:hAnsi="Petrobras Sans"/>
              </w:rPr>
              <w:t>Petrogal Brasil</w:t>
            </w:r>
          </w:p>
        </w:tc>
        <w:tc>
          <w:tcPr>
            <w:tcW w:w="2268" w:type="dxa"/>
            <w:tcBorders>
              <w:top w:val="single" w:sz="4" w:space="0" w:color="auto"/>
              <w:left w:val="single" w:sz="4" w:space="0" w:color="auto"/>
              <w:bottom w:val="single" w:sz="4" w:space="0" w:color="auto"/>
              <w:right w:val="single" w:sz="4" w:space="0" w:color="auto"/>
            </w:tcBorders>
            <w:hideMark/>
          </w:tcPr>
          <w:p w14:paraId="425251E2" w14:textId="33E64577" w:rsidR="0025265F" w:rsidRPr="00526B84" w:rsidRDefault="0025265F" w:rsidP="00CE3881">
            <w:pPr>
              <w:jc w:val="center"/>
              <w:rPr>
                <w:rFonts w:ascii="Petrobras Sans" w:hAnsi="Petrobras Sans"/>
              </w:rPr>
            </w:pPr>
            <w:r w:rsidRPr="00526B84">
              <w:rPr>
                <w:rFonts w:ascii="Petrobras Sans" w:hAnsi="Petrobras Sans"/>
              </w:rPr>
              <w:t>2</w:t>
            </w:r>
            <w:r w:rsidR="00535F0A">
              <w:rPr>
                <w:rFonts w:ascii="Petrobras Sans" w:hAnsi="Petrobras Sans"/>
              </w:rPr>
              <w:t>.</w:t>
            </w:r>
            <w:r w:rsidRPr="00526B84">
              <w:rPr>
                <w:rFonts w:ascii="Petrobras Sans" w:hAnsi="Petrobras Sans"/>
              </w:rPr>
              <w:t>41%</w:t>
            </w:r>
          </w:p>
        </w:tc>
      </w:tr>
    </w:tbl>
    <w:p w14:paraId="338DEE88" w14:textId="77777777" w:rsidR="0025265F" w:rsidRPr="00526B84" w:rsidRDefault="0025265F" w:rsidP="0025265F">
      <w:pPr>
        <w:rPr>
          <w:rFonts w:ascii="Petrobras Sans" w:hAnsi="Petrobras Sans"/>
        </w:rPr>
      </w:pPr>
    </w:p>
    <w:p w14:paraId="2F9ED985" w14:textId="0988B61B" w:rsidR="00535F0A" w:rsidRDefault="00535F0A" w:rsidP="0025265F">
      <w:pPr>
        <w:jc w:val="both"/>
        <w:rPr>
          <w:rFonts w:ascii="Petrobras Sans" w:hAnsi="Petrobras Sans"/>
        </w:rPr>
      </w:pPr>
      <w:r w:rsidRPr="00535F0A">
        <w:rPr>
          <w:rFonts w:ascii="Petrobras Sans" w:hAnsi="Petrobras Sans"/>
        </w:rPr>
        <w:t xml:space="preserve">The start of production sharing for FPSOs P-70 and Carioca, operating in the Atapu and Sépia fields, respectively, will impact Petrobras' production target disclosed in the 2022-26 Strategic Plan. In the year 2022, we will have a reduction in the </w:t>
      </w:r>
      <w:r w:rsidR="00E71770">
        <w:rPr>
          <w:rFonts w:ascii="Petrobras Sans" w:hAnsi="Petrobras Sans"/>
        </w:rPr>
        <w:t>amount</w:t>
      </w:r>
      <w:r w:rsidRPr="00535F0A">
        <w:rPr>
          <w:rFonts w:ascii="Petrobras Sans" w:hAnsi="Petrobras Sans"/>
        </w:rPr>
        <w:t xml:space="preserve"> of 70 Mboed for the total production of oil and gas, and the change of the range from 2.7 MMboed to 2.6 MMboed with a </w:t>
      </w:r>
      <w:r w:rsidRPr="00535F0A">
        <w:rPr>
          <w:rFonts w:ascii="Petrobras Sans" w:hAnsi="Petrobras Sans"/>
        </w:rPr>
        <w:lastRenderedPageBreak/>
        <w:t>variation of 4% up or down.</w:t>
      </w:r>
      <w:r>
        <w:rPr>
          <w:rFonts w:ascii="Petrobras Sans" w:hAnsi="Petrobras Sans"/>
        </w:rPr>
        <w:t xml:space="preserve"> </w:t>
      </w:r>
      <w:r w:rsidRPr="00535F0A">
        <w:rPr>
          <w:rFonts w:ascii="Petrobras Sans" w:hAnsi="Petrobras Sans"/>
        </w:rPr>
        <w:t xml:space="preserve">Oil production and commercial production had an impact of about 60 Mboed, but remained with the same ranges, respectively, 2.1 MMbpd and 2.3 MMboed, with a variation of 4% up or down. For the period </w:t>
      </w:r>
      <w:r w:rsidR="00E71770">
        <w:rPr>
          <w:rFonts w:ascii="Petrobras Sans" w:hAnsi="Petrobras Sans"/>
        </w:rPr>
        <w:t>between</w:t>
      </w:r>
      <w:r w:rsidRPr="00535F0A">
        <w:rPr>
          <w:rFonts w:ascii="Petrobras Sans" w:hAnsi="Petrobras Sans"/>
        </w:rPr>
        <w:t xml:space="preserve"> 2023 </w:t>
      </w:r>
      <w:r w:rsidR="00E71770">
        <w:rPr>
          <w:rFonts w:ascii="Petrobras Sans" w:hAnsi="Petrobras Sans"/>
        </w:rPr>
        <w:t>and</w:t>
      </w:r>
      <w:r w:rsidRPr="00535F0A">
        <w:rPr>
          <w:rFonts w:ascii="Petrobras Sans" w:hAnsi="Petrobras Sans"/>
        </w:rPr>
        <w:t xml:space="preserve"> 2026, the average estimated impact for production is a reduction of 0.1 MMboed.</w:t>
      </w:r>
    </w:p>
    <w:p w14:paraId="1D5D38D5" w14:textId="5CBEE3CD" w:rsidR="00535F0A" w:rsidRDefault="00535F0A" w:rsidP="0025265F">
      <w:pPr>
        <w:jc w:val="both"/>
        <w:rPr>
          <w:rFonts w:ascii="Petrobras Sans" w:hAnsi="Petrobras Sans"/>
        </w:rPr>
      </w:pPr>
      <w:r w:rsidRPr="00535F0A">
        <w:rPr>
          <w:rFonts w:ascii="Petrobras Sans" w:hAnsi="Petrobras Sans"/>
        </w:rPr>
        <w:t>For Atapu, Petrobras will receive compensation before the gross up, in the amount of US$ 1.5 billion, by April 15, 2022. In the case of Sépia, the amount is US$ 2.2 billion</w:t>
      </w:r>
      <w:r w:rsidR="00E71770">
        <w:rPr>
          <w:rFonts w:ascii="Petrobras Sans" w:hAnsi="Petrobras Sans"/>
        </w:rPr>
        <w:t>,</w:t>
      </w:r>
      <w:r w:rsidRPr="00535F0A">
        <w:rPr>
          <w:rFonts w:ascii="Petrobras Sans" w:hAnsi="Petrobras Sans"/>
        </w:rPr>
        <w:t xml:space="preserve"> and the date of receipt is still under negotiation with the sharing consortium. The portion of the bonus due by Petrobras for the two fields, in the amount of R$ 4.2 billion, should be paid in 1Q22.</w:t>
      </w:r>
    </w:p>
    <w:p w14:paraId="49A4ACD8" w14:textId="5FEC76AC" w:rsidR="00DD6388" w:rsidRDefault="00DD6388" w:rsidP="0025265F">
      <w:pPr>
        <w:jc w:val="both"/>
        <w:rPr>
          <w:rFonts w:ascii="Petrobras Sans" w:hAnsi="Petrobras Sans"/>
        </w:rPr>
      </w:pPr>
      <w:r>
        <w:rPr>
          <w:rFonts w:ascii="Petrobras Sans" w:hAnsi="Petrobras Sans"/>
        </w:rPr>
        <w:t>Regarding the</w:t>
      </w:r>
      <w:r w:rsidRPr="00DD6388">
        <w:rPr>
          <w:rFonts w:ascii="Petrobras Sans" w:hAnsi="Petrobras Sans"/>
        </w:rPr>
        <w:t xml:space="preserve"> investments for 2022, the announced forecast of </w:t>
      </w:r>
      <w:r>
        <w:rPr>
          <w:rFonts w:ascii="Petrobras Sans" w:hAnsi="Petrobras Sans"/>
        </w:rPr>
        <w:t>US</w:t>
      </w:r>
      <w:r w:rsidRPr="00DD6388">
        <w:rPr>
          <w:rFonts w:ascii="Petrobras Sans" w:hAnsi="Petrobras Sans"/>
        </w:rPr>
        <w:t>$</w:t>
      </w:r>
      <w:r>
        <w:rPr>
          <w:rFonts w:ascii="Petrobras Sans" w:hAnsi="Petrobras Sans"/>
        </w:rPr>
        <w:t xml:space="preserve"> </w:t>
      </w:r>
      <w:r w:rsidRPr="00DD6388">
        <w:rPr>
          <w:rFonts w:ascii="Petrobras Sans" w:hAnsi="Petrobras Sans"/>
        </w:rPr>
        <w:t>11 billion is maintained. Throughout this year, the Development Plans for the production of the surplus volumes in Atapu and Sépia will be discussed with partners and PPSA, which should include the implementation of a new production system in each field. These adjustments will be reflected and disclosed in the Strategic Plan 2023-27.</w:t>
      </w:r>
    </w:p>
    <w:p w14:paraId="554ACF4E" w14:textId="77777777" w:rsidR="0025265F" w:rsidRPr="00C93A8E" w:rsidRDefault="0025265F" w:rsidP="00E76BB1">
      <w:pPr>
        <w:tabs>
          <w:tab w:val="left" w:pos="-6379"/>
          <w:tab w:val="left" w:pos="-5387"/>
          <w:tab w:val="left" w:pos="720"/>
          <w:tab w:val="left" w:pos="1440"/>
          <w:tab w:val="left" w:pos="2160"/>
          <w:tab w:val="left" w:pos="2880"/>
          <w:tab w:val="left" w:pos="3600"/>
          <w:tab w:val="left" w:pos="4320"/>
        </w:tabs>
        <w:autoSpaceDE w:val="0"/>
        <w:autoSpaceDN w:val="0"/>
        <w:adjustRightInd w:val="0"/>
        <w:spacing w:after="0"/>
        <w:ind w:left="-567"/>
        <w:jc w:val="both"/>
        <w:rPr>
          <w:rFonts w:ascii="Petrobras Sans" w:hAnsi="Petrobras Sans"/>
        </w:rPr>
      </w:pPr>
    </w:p>
    <w:p w14:paraId="3B4C432E" w14:textId="77777777" w:rsidR="00E76BB1" w:rsidRDefault="00E76BB1" w:rsidP="00E76BB1">
      <w:pPr>
        <w:tabs>
          <w:tab w:val="left" w:pos="-6379"/>
          <w:tab w:val="left" w:pos="-5387"/>
          <w:tab w:val="left" w:pos="720"/>
          <w:tab w:val="left" w:pos="1440"/>
          <w:tab w:val="left" w:pos="2160"/>
          <w:tab w:val="left" w:pos="2880"/>
          <w:tab w:val="left" w:pos="3600"/>
          <w:tab w:val="left" w:pos="4320"/>
        </w:tabs>
        <w:autoSpaceDE w:val="0"/>
        <w:autoSpaceDN w:val="0"/>
        <w:adjustRightInd w:val="0"/>
        <w:spacing w:after="0"/>
        <w:ind w:left="-567"/>
        <w:jc w:val="both"/>
      </w:pPr>
    </w:p>
    <w:p w14:paraId="4FB4A28A" w14:textId="77777777" w:rsidR="00E76BB1" w:rsidRPr="00E76BB1" w:rsidRDefault="00E76BB1" w:rsidP="00E76BB1">
      <w:pPr>
        <w:tabs>
          <w:tab w:val="left" w:pos="-6379"/>
          <w:tab w:val="left" w:pos="-5387"/>
          <w:tab w:val="left" w:pos="720"/>
          <w:tab w:val="left" w:pos="1440"/>
          <w:tab w:val="left" w:pos="2160"/>
          <w:tab w:val="left" w:pos="2880"/>
          <w:tab w:val="left" w:pos="3600"/>
          <w:tab w:val="left" w:pos="4320"/>
        </w:tabs>
        <w:autoSpaceDE w:val="0"/>
        <w:autoSpaceDN w:val="0"/>
        <w:adjustRightInd w:val="0"/>
        <w:spacing w:after="0"/>
        <w:ind w:left="-567"/>
        <w:jc w:val="both"/>
        <w:rPr>
          <w:rFonts w:ascii="Petrobras Sans" w:hAnsi="Petrobras Sans"/>
          <w:b/>
          <w:i/>
          <w:sz w:val="36"/>
        </w:rPr>
      </w:pPr>
    </w:p>
    <w:p w14:paraId="30A34A70" w14:textId="55DBFB51" w:rsidR="00CA6C99" w:rsidRPr="00C93A8E" w:rsidRDefault="00CA6C99" w:rsidP="00E76BB1">
      <w:pPr>
        <w:pStyle w:val="NormalWeb"/>
        <w:spacing w:after="120"/>
        <w:ind w:left="-567"/>
        <w:jc w:val="both"/>
        <w:rPr>
          <w:rFonts w:ascii="Petrobras Sans" w:hAnsi="Petrobras Sans"/>
          <w:sz w:val="22"/>
          <w:szCs w:val="22"/>
        </w:rPr>
      </w:pPr>
    </w:p>
    <w:sectPr w:rsidR="00CA6C99" w:rsidRPr="00C93A8E" w:rsidSect="00A7695D">
      <w:headerReference w:type="default" r:id="rId10"/>
      <w:footerReference w:type="default" r:id="rId11"/>
      <w:pgSz w:w="11906" w:h="16838" w:code="9"/>
      <w:pgMar w:top="2127" w:right="1274" w:bottom="851" w:left="1701"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46116" w14:textId="77777777" w:rsidR="009C6771" w:rsidRDefault="009C6771" w:rsidP="007F64D6">
      <w:pPr>
        <w:spacing w:after="0" w:line="240" w:lineRule="auto"/>
      </w:pPr>
      <w:r>
        <w:separator/>
      </w:r>
    </w:p>
  </w:endnote>
  <w:endnote w:type="continuationSeparator" w:id="0">
    <w:p w14:paraId="2990390D" w14:textId="77777777" w:rsidR="009C6771" w:rsidRDefault="009C6771" w:rsidP="007F6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trobras Sans">
    <w:altName w:val="Calibri"/>
    <w:panose1 w:val="020B0606020204030204"/>
    <w:charset w:val="00"/>
    <w:family w:val="swiss"/>
    <w:pitch w:val="variable"/>
    <w:sig w:usb0="A00000AF" w:usb1="5000205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4EB8D" w14:textId="5DDC2AF0" w:rsidR="00710A66" w:rsidRDefault="00710A66" w:rsidP="00710A66">
    <w:pPr>
      <w:spacing w:after="0" w:line="276" w:lineRule="auto"/>
      <w:ind w:left="-709" w:right="-143"/>
      <w:rPr>
        <w:rFonts w:ascii="Petrobras Sans" w:hAnsi="Petrobras Sans"/>
        <w:b/>
        <w:color w:val="3366CC"/>
        <w:sz w:val="16"/>
        <w:szCs w:val="16"/>
      </w:rPr>
    </w:pPr>
    <w:r>
      <w:rPr>
        <w:noProof/>
        <w:lang w:val="pt-BR" w:eastAsia="pt-BR"/>
      </w:rPr>
      <mc:AlternateContent>
        <mc:Choice Requires="wps">
          <w:drawing>
            <wp:anchor distT="0" distB="0" distL="114300" distR="114300" simplePos="0" relativeHeight="251667456" behindDoc="0" locked="0" layoutInCell="1" allowOverlap="1" wp14:anchorId="46FE9500" wp14:editId="2FA6EA35">
              <wp:simplePos x="0" y="0"/>
              <wp:positionH relativeFrom="column">
                <wp:posOffset>-441960</wp:posOffset>
              </wp:positionH>
              <wp:positionV relativeFrom="paragraph">
                <wp:posOffset>139700</wp:posOffset>
              </wp:positionV>
              <wp:extent cx="5934710" cy="0"/>
              <wp:effectExtent l="0" t="0" r="27940" b="19050"/>
              <wp:wrapNone/>
              <wp:docPr id="8" name="Conector reto 8"/>
              <wp:cNvGraphicFramePr/>
              <a:graphic xmlns:a="http://schemas.openxmlformats.org/drawingml/2006/main">
                <a:graphicData uri="http://schemas.microsoft.com/office/word/2010/wordprocessingShape">
                  <wps:wsp>
                    <wps:cNvCnPr/>
                    <wps:spPr>
                      <a:xfrm>
                        <a:off x="0" y="0"/>
                        <a:ext cx="593471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33A4E4" id="Conector reto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11pt" to="43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" strokecolor="#cfcdcd [2894]" strokeweight=".5pt">
              <v:stroke joinstyle="miter"/>
            </v:line>
          </w:pict>
        </mc:Fallback>
      </mc:AlternateContent>
    </w:r>
    <w:hyperlink r:id="rId1" w:history="1">
      <w:r w:rsidRPr="00B75097">
        <w:rPr>
          <w:rStyle w:val="Hyperlink"/>
          <w:rFonts w:ascii="Petrobras Sans" w:hAnsi="Petrobras Sans"/>
          <w:b/>
          <w:sz w:val="16"/>
          <w:szCs w:val="16"/>
        </w:rPr>
        <w:t>www.petrobras.com.br/ir</w:t>
      </w:r>
    </w:hyperlink>
  </w:p>
  <w:p w14:paraId="08E6BA36" w14:textId="77777777" w:rsidR="00710A66" w:rsidRDefault="00710A66" w:rsidP="00710A66">
    <w:pPr>
      <w:spacing w:after="0" w:line="276" w:lineRule="auto"/>
      <w:ind w:left="-700" w:right="-709"/>
      <w:rPr>
        <w:rFonts w:ascii="Petrobras Sans" w:hAnsi="Petrobras Sans"/>
        <w:color w:val="A6A6A6" w:themeColor="background1" w:themeShade="A6"/>
        <w:sz w:val="15"/>
        <w:szCs w:val="15"/>
      </w:rPr>
    </w:pPr>
  </w:p>
  <w:p w14:paraId="382EF815" w14:textId="37887469" w:rsidR="00710A66" w:rsidRPr="00182CA0" w:rsidRDefault="00710A66" w:rsidP="00710A66">
    <w:pPr>
      <w:spacing w:after="0" w:line="276" w:lineRule="auto"/>
      <w:ind w:left="-700" w:right="-709"/>
      <w:rPr>
        <w:rFonts w:ascii="Petrobras Sans" w:eastAsia="Times New Roman" w:hAnsi="Petrobras Sans" w:cs="Times New Roman"/>
        <w:color w:val="A6A6A6" w:themeColor="background1" w:themeShade="A6"/>
        <w:sz w:val="15"/>
        <w:szCs w:val="15"/>
      </w:rPr>
    </w:pPr>
    <w:r w:rsidRPr="00182CA0">
      <w:rPr>
        <w:rFonts w:ascii="Petrobras Sans" w:hAnsi="Petrobras Sans"/>
        <w:color w:val="A6A6A6" w:themeColor="background1" w:themeShade="A6"/>
        <w:sz w:val="15"/>
        <w:szCs w:val="15"/>
      </w:rPr>
      <w:t>For more information:</w:t>
    </w:r>
  </w:p>
  <w:p w14:paraId="7CF015AB" w14:textId="77777777" w:rsidR="00710A66" w:rsidRPr="00710A66" w:rsidRDefault="00710A66" w:rsidP="00710A66">
    <w:pPr>
      <w:spacing w:after="0" w:line="276" w:lineRule="auto"/>
      <w:ind w:left="-700" w:right="-709"/>
      <w:rPr>
        <w:rFonts w:ascii="Petrobras Sans" w:eastAsia="Times New Roman" w:hAnsi="Petrobras Sans" w:cs="Times New Roman"/>
        <w:b/>
        <w:color w:val="A6A6A6" w:themeColor="background1" w:themeShade="A6"/>
        <w:sz w:val="15"/>
        <w:szCs w:val="15"/>
        <w:lang w:val="pt-BR"/>
      </w:rPr>
    </w:pPr>
    <w:r w:rsidRPr="00710A66">
      <w:rPr>
        <w:rFonts w:ascii="Petrobras Sans" w:hAnsi="Petrobras Sans"/>
        <w:b/>
        <w:color w:val="A6A6A6" w:themeColor="background1" w:themeShade="A6"/>
        <w:sz w:val="15"/>
        <w:szCs w:val="15"/>
        <w:lang w:val="pt-BR"/>
      </w:rPr>
      <w:t>PETRÓLEO BRASILEIRO S.A. – PETROBRAS | Investors Relations</w:t>
    </w:r>
  </w:p>
  <w:p w14:paraId="217C2B5F" w14:textId="77777777" w:rsidR="00710A66" w:rsidRPr="00320CA6" w:rsidRDefault="00710A66" w:rsidP="00710A66">
    <w:pPr>
      <w:spacing w:after="0" w:line="276" w:lineRule="auto"/>
      <w:ind w:left="-700" w:right="-709"/>
      <w:rPr>
        <w:rFonts w:ascii="Petrobras Sans" w:eastAsia="Times New Roman" w:hAnsi="Petrobras Sans" w:cs="Times New Roman"/>
        <w:color w:val="A6A6A6" w:themeColor="background1" w:themeShade="A6"/>
        <w:sz w:val="15"/>
        <w:szCs w:val="15"/>
        <w:lang w:val="fr-FR"/>
      </w:rPr>
    </w:pPr>
    <w:r w:rsidRPr="00710A66">
      <w:rPr>
        <w:rFonts w:ascii="Petrobras Sans" w:hAnsi="Petrobras Sans"/>
        <w:b/>
        <w:color w:val="A6A6A6" w:themeColor="background1" w:themeShade="A6"/>
        <w:sz w:val="15"/>
        <w:szCs w:val="15"/>
        <w:lang w:val="pt-BR"/>
      </w:rPr>
      <w:t xml:space="preserve"> </w:t>
    </w:r>
    <w:r w:rsidRPr="00320CA6">
      <w:rPr>
        <w:rFonts w:ascii="Petrobras Sans" w:hAnsi="Petrobras Sans"/>
        <w:color w:val="A6A6A6" w:themeColor="background1" w:themeShade="A6"/>
        <w:sz w:val="15"/>
        <w:szCs w:val="15"/>
        <w:lang w:val="fr-FR"/>
      </w:rPr>
      <w:t>email: petroinvest@petrobras.com.br/acionistas@petrobras.com.br</w:t>
    </w:r>
  </w:p>
  <w:p w14:paraId="3398A4DE" w14:textId="77777777" w:rsidR="00710A66" w:rsidRPr="00710A66" w:rsidRDefault="00710A66" w:rsidP="00710A66">
    <w:pPr>
      <w:spacing w:after="0" w:line="276" w:lineRule="auto"/>
      <w:ind w:left="-700" w:right="-709"/>
      <w:rPr>
        <w:rFonts w:ascii="Petrobras Sans" w:hAnsi="Petrobras Sans"/>
        <w:color w:val="A6A6A6" w:themeColor="background1" w:themeShade="A6"/>
        <w:sz w:val="15"/>
        <w:szCs w:val="15"/>
        <w:lang w:val="pt-BR"/>
      </w:rPr>
    </w:pPr>
    <w:r w:rsidRPr="3355467C">
      <w:rPr>
        <w:rFonts w:ascii="Petrobras Sans" w:hAnsi="Petrobras Sans"/>
        <w:color w:val="A6A6A6" w:themeColor="background1" w:themeShade="A6"/>
        <w:sz w:val="15"/>
        <w:szCs w:val="15"/>
        <w:lang w:val="fr-FR"/>
      </w:rPr>
      <w:t xml:space="preserve"> </w:t>
    </w:r>
    <w:r w:rsidRPr="00710A66">
      <w:rPr>
        <w:rFonts w:ascii="Petrobras Sans" w:hAnsi="Petrobras Sans"/>
        <w:color w:val="A6A6A6" w:themeColor="background1" w:themeShade="A6"/>
        <w:sz w:val="15"/>
        <w:szCs w:val="15"/>
        <w:lang w:val="pt-BR"/>
      </w:rPr>
      <w:t>Av. Henrique Valadares, 28 – 19 Andar – 20231-030 – Rio de Janeiro, RJ.</w:t>
    </w:r>
  </w:p>
  <w:p w14:paraId="01F9ABD3" w14:textId="77777777" w:rsidR="00710A66" w:rsidRPr="00182CA0" w:rsidRDefault="00710A66" w:rsidP="00710A66">
    <w:pPr>
      <w:spacing w:after="0" w:line="276" w:lineRule="auto"/>
      <w:ind w:left="-700" w:right="-709"/>
      <w:rPr>
        <w:rFonts w:ascii="Petrobras Sans" w:eastAsia="Times New Roman" w:hAnsi="Petrobras Sans" w:cs="Times New Roman"/>
        <w:color w:val="A6A6A6" w:themeColor="background1" w:themeShade="A6"/>
        <w:sz w:val="15"/>
        <w:szCs w:val="15"/>
      </w:rPr>
    </w:pPr>
    <w:r>
      <w:rPr>
        <w:noProof/>
        <w:lang w:val="pt-BR" w:eastAsia="pt-BR"/>
      </w:rPr>
      <mc:AlternateContent>
        <mc:Choice Requires="wps">
          <w:drawing>
            <wp:anchor distT="0" distB="0" distL="114300" distR="114300" simplePos="0" relativeHeight="251668480" behindDoc="0" locked="0" layoutInCell="1" allowOverlap="1" wp14:anchorId="3173C3F4" wp14:editId="4131332B">
              <wp:simplePos x="0" y="0"/>
              <wp:positionH relativeFrom="column">
                <wp:posOffset>-424815</wp:posOffset>
              </wp:positionH>
              <wp:positionV relativeFrom="paragraph">
                <wp:posOffset>203835</wp:posOffset>
              </wp:positionV>
              <wp:extent cx="6254115" cy="0"/>
              <wp:effectExtent l="0" t="0" r="32385" b="19050"/>
              <wp:wrapNone/>
              <wp:docPr id="10" name="Conector reto 10"/>
              <wp:cNvGraphicFramePr/>
              <a:graphic xmlns:a="http://schemas.openxmlformats.org/drawingml/2006/main">
                <a:graphicData uri="http://schemas.microsoft.com/office/word/2010/wordprocessingShape">
                  <wps:wsp>
                    <wps:cNvCnPr/>
                    <wps:spPr>
                      <a:xfrm flipV="1">
                        <a:off x="0" y="0"/>
                        <a:ext cx="625411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73DD7F" id="Conector reto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3.45pt,16.05pt" to="459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" strokecolor="#cfcdcd [2894]" strokeweight=".5pt">
              <v:stroke joinstyle="miter"/>
            </v:line>
          </w:pict>
        </mc:Fallback>
      </mc:AlternateContent>
    </w:r>
    <w:r w:rsidRPr="00B3202A">
      <w:rPr>
        <w:rFonts w:ascii="Petrobras Sans" w:hAnsi="Petrobras Sans"/>
        <w:color w:val="A6A6A6" w:themeColor="background1" w:themeShade="A6"/>
        <w:sz w:val="15"/>
        <w:szCs w:val="15"/>
      </w:rPr>
      <w:t xml:space="preserve"> </w:t>
    </w:r>
    <w:r w:rsidRPr="00182CA0">
      <w:rPr>
        <w:rFonts w:ascii="Petrobras Sans" w:hAnsi="Petrobras Sans"/>
        <w:color w:val="A6A6A6" w:themeColor="background1" w:themeShade="A6"/>
        <w:sz w:val="15"/>
        <w:szCs w:val="15"/>
      </w:rPr>
      <w:t>Tel.: 55 (21) 3224-1510/9947 | 0800-282-1540</w:t>
    </w:r>
  </w:p>
  <w:p w14:paraId="62416297" w14:textId="77777777" w:rsidR="00710A66" w:rsidRPr="00182CA0" w:rsidRDefault="00710A66" w:rsidP="00710A66">
    <w:pPr>
      <w:spacing w:after="0" w:line="276" w:lineRule="auto"/>
      <w:ind w:left="-700" w:right="-709"/>
      <w:rPr>
        <w:rFonts w:ascii="Petrobras Sans" w:eastAsia="Times New Roman" w:hAnsi="Petrobras Sans" w:cs="Times New Roman"/>
        <w:b/>
        <w:sz w:val="15"/>
        <w:szCs w:val="15"/>
      </w:rPr>
    </w:pPr>
  </w:p>
  <w:p w14:paraId="017029C1" w14:textId="2177E655" w:rsidR="00710A66" w:rsidRPr="00182CA0" w:rsidRDefault="00710A66" w:rsidP="00710A66">
    <w:pPr>
      <w:spacing w:after="0" w:line="276" w:lineRule="auto"/>
      <w:ind w:left="-700" w:right="-140"/>
      <w:jc w:val="both"/>
    </w:pPr>
    <w:r w:rsidRPr="00182CA0">
      <w:rPr>
        <w:rFonts w:ascii="Petrobras Sans" w:hAnsi="Petrobras Sans"/>
        <w:color w:val="A6A6A6" w:themeColor="background1" w:themeShade="A6"/>
        <w:sz w:val="14"/>
        <w:szCs w:val="14"/>
      </w:rPr>
      <w:t xml:space="preserve">This document may contain forecasts within the meaning of Section 27A of the Securities Act of 1933, as amended (Securities Act), and Section 21E of the Securities Trading Act of 1934, as amended (Trading Act) that reflect the expectations of the Company's officers. The terms: "anticipates", "believes", "expects", "predicts", "intends", "plans", "projects", "aims", "should," and similar terms, aim to identify such forecasts, which evidently involve risks or uncertainties, predicted or not by the Company. Therefore, future results of the Company's operations may differ from current expectations, and the reader should not rely solely on the information included herein.  </w:t>
    </w:r>
  </w:p>
  <w:p w14:paraId="7685150B" w14:textId="267C2C24" w:rsidR="00620952" w:rsidRDefault="00620952" w:rsidP="00710A66">
    <w:pPr>
      <w:spacing w:after="0" w:line="276" w:lineRule="auto"/>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089EB" w14:textId="77777777" w:rsidR="009C6771" w:rsidRDefault="009C6771" w:rsidP="007F64D6">
      <w:pPr>
        <w:spacing w:after="0" w:line="240" w:lineRule="auto"/>
      </w:pPr>
      <w:r>
        <w:separator/>
      </w:r>
    </w:p>
  </w:footnote>
  <w:footnote w:type="continuationSeparator" w:id="0">
    <w:p w14:paraId="0B3461CE" w14:textId="77777777" w:rsidR="009C6771" w:rsidRDefault="009C6771" w:rsidP="007F6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79167" w14:textId="11EAB981" w:rsidR="00660D73" w:rsidRDefault="00660D73" w:rsidP="0044650B">
    <w:pPr>
      <w:pStyle w:val="Cabealho"/>
      <w:ind w:left="-1701"/>
    </w:pPr>
    <w:r>
      <w:rPr>
        <w:noProof/>
        <w:lang w:val="pt-BR" w:eastAsia="pt-BR"/>
      </w:rPr>
      <mc:AlternateContent>
        <mc:Choice Requires="wps">
          <w:drawing>
            <wp:anchor distT="0" distB="0" distL="114300" distR="114300" simplePos="0" relativeHeight="251663360" behindDoc="0" locked="0" layoutInCell="1" allowOverlap="1" wp14:anchorId="04E00BCD" wp14:editId="74DB498D">
              <wp:simplePos x="0" y="0"/>
              <wp:positionH relativeFrom="column">
                <wp:posOffset>-6125845</wp:posOffset>
              </wp:positionH>
              <wp:positionV relativeFrom="paragraph">
                <wp:posOffset>-7115175</wp:posOffset>
              </wp:positionV>
              <wp:extent cx="8745220" cy="6588125"/>
              <wp:effectExtent l="0" t="0" r="36830" b="22225"/>
              <wp:wrapNone/>
              <wp:docPr id="2" name="Forma Livre: Forma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flipV="1">
                        <a:off x="0" y="0"/>
                        <a:ext cx="8744585" cy="6587490"/>
                      </a:xfrm>
                      <a:custGeom>
                        <a:avLst/>
                        <a:gdLst>
                          <a:gd name="T0" fmla="*/ 72 w 3020"/>
                          <a:gd name="T1" fmla="*/ 734 h 2244"/>
                          <a:gd name="T2" fmla="*/ 103 w 3020"/>
                          <a:gd name="T3" fmla="*/ 621 h 2244"/>
                          <a:gd name="T4" fmla="*/ 403 w 3020"/>
                          <a:gd name="T5" fmla="*/ 49 h 2244"/>
                          <a:gd name="T6" fmla="*/ 490 w 3020"/>
                          <a:gd name="T7" fmla="*/ 5 h 2244"/>
                          <a:gd name="T8" fmla="*/ 2716 w 3020"/>
                          <a:gd name="T9" fmla="*/ 326 h 2244"/>
                          <a:gd name="T10" fmla="*/ 2783 w 3020"/>
                          <a:gd name="T11" fmla="*/ 394 h 2244"/>
                          <a:gd name="T12" fmla="*/ 3015 w 3020"/>
                          <a:gd name="T13" fmla="*/ 2185 h 2244"/>
                          <a:gd name="T14" fmla="*/ 2963 w 3020"/>
                          <a:gd name="T15" fmla="*/ 2244 h 2244"/>
                          <a:gd name="T16" fmla="*/ 59 w 3020"/>
                          <a:gd name="T17" fmla="*/ 2244 h 2244"/>
                          <a:gd name="T18" fmla="*/ 2 w 3020"/>
                          <a:gd name="T19" fmla="*/ 2184 h 2244"/>
                          <a:gd name="T20" fmla="*/ 72 w 3020"/>
                          <a:gd name="T21" fmla="*/ 734 h 2244"/>
                          <a:gd name="connsiteX0" fmla="*/ 189 w 9979"/>
                          <a:gd name="connsiteY0" fmla="*/ 9982 h 10112"/>
                          <a:gd name="connsiteX1" fmla="*/ 1 w 9979"/>
                          <a:gd name="connsiteY1" fmla="*/ 9715 h 10112"/>
                          <a:gd name="connsiteX2" fmla="*/ 232 w 9979"/>
                          <a:gd name="connsiteY2" fmla="*/ 3253 h 10112"/>
                          <a:gd name="connsiteX3" fmla="*/ 335 w 9979"/>
                          <a:gd name="connsiteY3" fmla="*/ 2749 h 10112"/>
                          <a:gd name="connsiteX4" fmla="*/ 1328 w 9979"/>
                          <a:gd name="connsiteY4" fmla="*/ 200 h 10112"/>
                          <a:gd name="connsiteX5" fmla="*/ 1617 w 9979"/>
                          <a:gd name="connsiteY5" fmla="*/ 4 h 10112"/>
                          <a:gd name="connsiteX6" fmla="*/ 8987 w 9979"/>
                          <a:gd name="connsiteY6" fmla="*/ 1435 h 10112"/>
                          <a:gd name="connsiteX7" fmla="*/ 9209 w 9979"/>
                          <a:gd name="connsiteY7" fmla="*/ 1738 h 10112"/>
                          <a:gd name="connsiteX8" fmla="*/ 9977 w 9979"/>
                          <a:gd name="connsiteY8" fmla="*/ 9719 h 10112"/>
                          <a:gd name="connsiteX9" fmla="*/ 9902 w 9979"/>
                          <a:gd name="connsiteY9" fmla="*/ 10112 h 101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9979" h="10112">
                            <a:moveTo>
                              <a:pt x="189" y="9982"/>
                            </a:moveTo>
                            <a:cubicBezTo>
                              <a:pt x="80" y="9982"/>
                              <a:pt x="-6" y="9862"/>
                              <a:pt x="1" y="9715"/>
                            </a:cubicBezTo>
                            <a:lnTo>
                              <a:pt x="232" y="3253"/>
                            </a:lnTo>
                            <a:cubicBezTo>
                              <a:pt x="239" y="3106"/>
                              <a:pt x="285" y="2879"/>
                              <a:pt x="335" y="2749"/>
                            </a:cubicBezTo>
                            <a:lnTo>
                              <a:pt x="1328" y="200"/>
                            </a:lnTo>
                            <a:cubicBezTo>
                              <a:pt x="1378" y="71"/>
                              <a:pt x="1511" y="-18"/>
                              <a:pt x="1617" y="4"/>
                            </a:cubicBezTo>
                            <a:lnTo>
                              <a:pt x="8987" y="1435"/>
                            </a:lnTo>
                            <a:cubicBezTo>
                              <a:pt x="9093" y="1457"/>
                              <a:pt x="9193" y="1595"/>
                              <a:pt x="9209" y="1738"/>
                            </a:cubicBezTo>
                            <a:lnTo>
                              <a:pt x="9977" y="9719"/>
                            </a:lnTo>
                            <a:cubicBezTo>
                              <a:pt x="9994" y="9866"/>
                              <a:pt x="9915" y="9982"/>
                              <a:pt x="9902" y="10112"/>
                            </a:cubicBezTo>
                          </a:path>
                        </a:pathLst>
                      </a:custGeom>
                      <a:noFill/>
                      <a:ln w="9525">
                        <a:solidFill>
                          <a:srgbClr val="008542"/>
                        </a:solid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BBE7F2" id="Forma Livre: Forma 2" o:spid="_x0000_s1026" style="position:absolute;margin-left:-482.35pt;margin-top:-560.25pt;width:688.6pt;height:518.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979,1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" path="m189,9982c80,9982,-6,9862,1,9715l232,3253v7,-147,53,-374,103,-504l1328,200c1378,71,1511,-18,1617,4l8987,1435v106,22,206,160,222,303l9977,9719v17,147,-62,263,-75,393e" filled="f" strokecolor="#008542">
              <v:path arrowok="t" o:connecttype="custom" o:connectlocs="165620,6502801;876,6328863;203301,2119176;293560,1790844;1163725,130291;1416975,2606;7875297,934835;8069835,1132225;8742832,6331469;8677110,6587490" o:connectangles="0,0,0,0,0,0,0,0,0,0"/>
              <o:lock v:ext="edit" aspectratio="t"/>
            </v:shape>
          </w:pict>
        </mc:Fallback>
      </mc:AlternateContent>
    </w:r>
  </w:p>
  <w:p w14:paraId="506ED151" w14:textId="55116FFA" w:rsidR="00660D73" w:rsidRDefault="000566F8" w:rsidP="000566F8">
    <w:pPr>
      <w:pStyle w:val="Cabealho"/>
      <w:ind w:left="-1701"/>
    </w:pPr>
    <w:r>
      <w:rPr>
        <w:noProof/>
        <w:lang w:val="pt-BR" w:eastAsia="pt-BR"/>
      </w:rPr>
      <w:drawing>
        <wp:inline distT="0" distB="0" distL="0" distR="0" wp14:anchorId="1901B558" wp14:editId="5917D47B">
          <wp:extent cx="7515225" cy="1028700"/>
          <wp:effectExtent l="0" t="0" r="9525" b="0"/>
          <wp:docPr id="3" name="Imagem 3" descr="Network:Clientes:PETROBRAS:CONTRATO:relatorios_financeiros:07_Layouts:Aprovados:RMF2:imagens:07_PET_apresentacao_relatorios_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work:Clientes:PETROBRAS:CONTRATO:relatorios_financeiros:07_Layouts:Aprovados:RMF2:imagens:07_PET_apresentacao_relatorios_rm.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908112" cy="1082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875E6"/>
    <w:multiLevelType w:val="hybridMultilevel"/>
    <w:tmpl w:val="CD2E0DB6"/>
    <w:lvl w:ilvl="0" w:tplc="4134ECD8">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 w15:restartNumberingAfterBreak="0">
    <w:nsid w:val="40FA6DE6"/>
    <w:multiLevelType w:val="hybridMultilevel"/>
    <w:tmpl w:val="D0060C7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5FBB5789"/>
    <w:multiLevelType w:val="hybridMultilevel"/>
    <w:tmpl w:val="CD2E0DB6"/>
    <w:lvl w:ilvl="0" w:tplc="4134ECD8">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3" w15:restartNumberingAfterBreak="0">
    <w:nsid w:val="7FDB4594"/>
    <w:multiLevelType w:val="hybridMultilevel"/>
    <w:tmpl w:val="256C15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fr-FR"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defaultTabStop w:val="567"/>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13"/>
    <w:rsid w:val="00000730"/>
    <w:rsid w:val="00003D08"/>
    <w:rsid w:val="00007C13"/>
    <w:rsid w:val="000118CA"/>
    <w:rsid w:val="0001779D"/>
    <w:rsid w:val="00037EC0"/>
    <w:rsid w:val="0004278A"/>
    <w:rsid w:val="00052814"/>
    <w:rsid w:val="00054EFF"/>
    <w:rsid w:val="000566F8"/>
    <w:rsid w:val="000C71A9"/>
    <w:rsid w:val="000C7DEB"/>
    <w:rsid w:val="000D042F"/>
    <w:rsid w:val="000F0416"/>
    <w:rsid w:val="000F7620"/>
    <w:rsid w:val="00105766"/>
    <w:rsid w:val="0011290B"/>
    <w:rsid w:val="001302C8"/>
    <w:rsid w:val="00132AC7"/>
    <w:rsid w:val="0013387F"/>
    <w:rsid w:val="00145E61"/>
    <w:rsid w:val="001529E6"/>
    <w:rsid w:val="00155E0B"/>
    <w:rsid w:val="00160DC6"/>
    <w:rsid w:val="00187741"/>
    <w:rsid w:val="001915C0"/>
    <w:rsid w:val="00191835"/>
    <w:rsid w:val="00192809"/>
    <w:rsid w:val="00195477"/>
    <w:rsid w:val="001D32B6"/>
    <w:rsid w:val="001E0346"/>
    <w:rsid w:val="00200AF0"/>
    <w:rsid w:val="00206656"/>
    <w:rsid w:val="00222A7E"/>
    <w:rsid w:val="00226825"/>
    <w:rsid w:val="00236995"/>
    <w:rsid w:val="0023771E"/>
    <w:rsid w:val="00237D0F"/>
    <w:rsid w:val="002434BE"/>
    <w:rsid w:val="0024684C"/>
    <w:rsid w:val="0025265F"/>
    <w:rsid w:val="00257EE3"/>
    <w:rsid w:val="002810C7"/>
    <w:rsid w:val="0028161C"/>
    <w:rsid w:val="002B0912"/>
    <w:rsid w:val="002E3442"/>
    <w:rsid w:val="00312504"/>
    <w:rsid w:val="00314C58"/>
    <w:rsid w:val="00320CA6"/>
    <w:rsid w:val="003300ED"/>
    <w:rsid w:val="00331F6C"/>
    <w:rsid w:val="00342E2B"/>
    <w:rsid w:val="00393159"/>
    <w:rsid w:val="003A489C"/>
    <w:rsid w:val="003B16E3"/>
    <w:rsid w:val="003D6FEF"/>
    <w:rsid w:val="003E7652"/>
    <w:rsid w:val="003F4EBB"/>
    <w:rsid w:val="00403485"/>
    <w:rsid w:val="0042066C"/>
    <w:rsid w:val="00435513"/>
    <w:rsid w:val="0044650B"/>
    <w:rsid w:val="00493747"/>
    <w:rsid w:val="004A2C4C"/>
    <w:rsid w:val="004A3C43"/>
    <w:rsid w:val="004C1DC6"/>
    <w:rsid w:val="004C449B"/>
    <w:rsid w:val="004C64B8"/>
    <w:rsid w:val="004D4209"/>
    <w:rsid w:val="004E4199"/>
    <w:rsid w:val="004F43BA"/>
    <w:rsid w:val="005164C6"/>
    <w:rsid w:val="00522CD2"/>
    <w:rsid w:val="00530DCA"/>
    <w:rsid w:val="00532306"/>
    <w:rsid w:val="00535F0A"/>
    <w:rsid w:val="00545575"/>
    <w:rsid w:val="00557B81"/>
    <w:rsid w:val="00567F44"/>
    <w:rsid w:val="00573B6B"/>
    <w:rsid w:val="005750A6"/>
    <w:rsid w:val="00580DB5"/>
    <w:rsid w:val="00582F57"/>
    <w:rsid w:val="00584BEF"/>
    <w:rsid w:val="005919DE"/>
    <w:rsid w:val="005C0787"/>
    <w:rsid w:val="005D5FF7"/>
    <w:rsid w:val="005D7807"/>
    <w:rsid w:val="005E6251"/>
    <w:rsid w:val="005E659A"/>
    <w:rsid w:val="005F218B"/>
    <w:rsid w:val="005F5919"/>
    <w:rsid w:val="006136A5"/>
    <w:rsid w:val="00614B94"/>
    <w:rsid w:val="006205A3"/>
    <w:rsid w:val="00620952"/>
    <w:rsid w:val="00620B2B"/>
    <w:rsid w:val="00624B7F"/>
    <w:rsid w:val="00627E57"/>
    <w:rsid w:val="00627FF2"/>
    <w:rsid w:val="00660D73"/>
    <w:rsid w:val="006707D9"/>
    <w:rsid w:val="00691F89"/>
    <w:rsid w:val="00694E55"/>
    <w:rsid w:val="006B6BF2"/>
    <w:rsid w:val="006C6A9F"/>
    <w:rsid w:val="006C78A2"/>
    <w:rsid w:val="006D1060"/>
    <w:rsid w:val="006E1901"/>
    <w:rsid w:val="006E35ED"/>
    <w:rsid w:val="006F7E5E"/>
    <w:rsid w:val="00703CBE"/>
    <w:rsid w:val="00706A09"/>
    <w:rsid w:val="00710A66"/>
    <w:rsid w:val="00720755"/>
    <w:rsid w:val="00727E37"/>
    <w:rsid w:val="00733AE2"/>
    <w:rsid w:val="00742E72"/>
    <w:rsid w:val="00746270"/>
    <w:rsid w:val="0074656B"/>
    <w:rsid w:val="00754F55"/>
    <w:rsid w:val="0076088C"/>
    <w:rsid w:val="00761EF8"/>
    <w:rsid w:val="00770412"/>
    <w:rsid w:val="007727FB"/>
    <w:rsid w:val="007A2F1D"/>
    <w:rsid w:val="007B4727"/>
    <w:rsid w:val="007C4D9A"/>
    <w:rsid w:val="007D42C5"/>
    <w:rsid w:val="007E5F9F"/>
    <w:rsid w:val="007F0DE7"/>
    <w:rsid w:val="007F4C12"/>
    <w:rsid w:val="007F64D6"/>
    <w:rsid w:val="007F7DF4"/>
    <w:rsid w:val="00814CD1"/>
    <w:rsid w:val="00824E19"/>
    <w:rsid w:val="0082757C"/>
    <w:rsid w:val="0083232B"/>
    <w:rsid w:val="00833085"/>
    <w:rsid w:val="00840699"/>
    <w:rsid w:val="0084364D"/>
    <w:rsid w:val="0084405C"/>
    <w:rsid w:val="00862CA1"/>
    <w:rsid w:val="008805D4"/>
    <w:rsid w:val="00884A59"/>
    <w:rsid w:val="008A56FB"/>
    <w:rsid w:val="008A66FB"/>
    <w:rsid w:val="008D58F7"/>
    <w:rsid w:val="008D78C4"/>
    <w:rsid w:val="008E27E0"/>
    <w:rsid w:val="008E28D3"/>
    <w:rsid w:val="008F10E8"/>
    <w:rsid w:val="008F14D1"/>
    <w:rsid w:val="008F2A48"/>
    <w:rsid w:val="008F3AED"/>
    <w:rsid w:val="008F4C77"/>
    <w:rsid w:val="00905020"/>
    <w:rsid w:val="0090533C"/>
    <w:rsid w:val="009116A9"/>
    <w:rsid w:val="00913FD6"/>
    <w:rsid w:val="00916C00"/>
    <w:rsid w:val="009173C4"/>
    <w:rsid w:val="00920508"/>
    <w:rsid w:val="00926F1C"/>
    <w:rsid w:val="00927785"/>
    <w:rsid w:val="009310DF"/>
    <w:rsid w:val="00935AC0"/>
    <w:rsid w:val="009443B4"/>
    <w:rsid w:val="00947E15"/>
    <w:rsid w:val="009519D3"/>
    <w:rsid w:val="00953AA2"/>
    <w:rsid w:val="00955595"/>
    <w:rsid w:val="0096254B"/>
    <w:rsid w:val="00990DCB"/>
    <w:rsid w:val="009A78DD"/>
    <w:rsid w:val="009B32F0"/>
    <w:rsid w:val="009B6FDA"/>
    <w:rsid w:val="009C4B15"/>
    <w:rsid w:val="009C6771"/>
    <w:rsid w:val="009D1090"/>
    <w:rsid w:val="009D1735"/>
    <w:rsid w:val="009D2247"/>
    <w:rsid w:val="009E19A3"/>
    <w:rsid w:val="00A03CFF"/>
    <w:rsid w:val="00A073D1"/>
    <w:rsid w:val="00A138B4"/>
    <w:rsid w:val="00A30F1C"/>
    <w:rsid w:val="00A32FEA"/>
    <w:rsid w:val="00A40A0E"/>
    <w:rsid w:val="00A41D92"/>
    <w:rsid w:val="00A4634E"/>
    <w:rsid w:val="00A5437D"/>
    <w:rsid w:val="00A54C51"/>
    <w:rsid w:val="00A60F56"/>
    <w:rsid w:val="00A75FFB"/>
    <w:rsid w:val="00A7695D"/>
    <w:rsid w:val="00A80F39"/>
    <w:rsid w:val="00A878D9"/>
    <w:rsid w:val="00AA1619"/>
    <w:rsid w:val="00AE3099"/>
    <w:rsid w:val="00AF630F"/>
    <w:rsid w:val="00B00688"/>
    <w:rsid w:val="00B10295"/>
    <w:rsid w:val="00B119F2"/>
    <w:rsid w:val="00B12936"/>
    <w:rsid w:val="00B17146"/>
    <w:rsid w:val="00B202EB"/>
    <w:rsid w:val="00B3202A"/>
    <w:rsid w:val="00B42FCB"/>
    <w:rsid w:val="00B462FA"/>
    <w:rsid w:val="00B55427"/>
    <w:rsid w:val="00B6738C"/>
    <w:rsid w:val="00B77F12"/>
    <w:rsid w:val="00B845CE"/>
    <w:rsid w:val="00B90168"/>
    <w:rsid w:val="00B90D76"/>
    <w:rsid w:val="00BA474B"/>
    <w:rsid w:val="00BC4ABE"/>
    <w:rsid w:val="00BD01C7"/>
    <w:rsid w:val="00BD22EB"/>
    <w:rsid w:val="00BD23E7"/>
    <w:rsid w:val="00C11DD0"/>
    <w:rsid w:val="00C138B9"/>
    <w:rsid w:val="00C204F2"/>
    <w:rsid w:val="00C31014"/>
    <w:rsid w:val="00C32ACD"/>
    <w:rsid w:val="00C339EB"/>
    <w:rsid w:val="00C73DAC"/>
    <w:rsid w:val="00C76EED"/>
    <w:rsid w:val="00C8067B"/>
    <w:rsid w:val="00C86609"/>
    <w:rsid w:val="00C93A8E"/>
    <w:rsid w:val="00CA340B"/>
    <w:rsid w:val="00CA6C99"/>
    <w:rsid w:val="00CB30B6"/>
    <w:rsid w:val="00CB5AB4"/>
    <w:rsid w:val="00CB6E47"/>
    <w:rsid w:val="00CC23F4"/>
    <w:rsid w:val="00CC27C6"/>
    <w:rsid w:val="00CC307A"/>
    <w:rsid w:val="00CE2640"/>
    <w:rsid w:val="00CE3A20"/>
    <w:rsid w:val="00CF10CB"/>
    <w:rsid w:val="00CF3DB9"/>
    <w:rsid w:val="00CF5C7E"/>
    <w:rsid w:val="00D010D7"/>
    <w:rsid w:val="00D14E53"/>
    <w:rsid w:val="00D21A4F"/>
    <w:rsid w:val="00D252CC"/>
    <w:rsid w:val="00D415C8"/>
    <w:rsid w:val="00D43CC3"/>
    <w:rsid w:val="00D652B7"/>
    <w:rsid w:val="00D706D0"/>
    <w:rsid w:val="00D84209"/>
    <w:rsid w:val="00D95E83"/>
    <w:rsid w:val="00DA046A"/>
    <w:rsid w:val="00DA412B"/>
    <w:rsid w:val="00DC2EB7"/>
    <w:rsid w:val="00DD6388"/>
    <w:rsid w:val="00DE06B3"/>
    <w:rsid w:val="00DE37C3"/>
    <w:rsid w:val="00DE41E9"/>
    <w:rsid w:val="00DF6459"/>
    <w:rsid w:val="00E0007E"/>
    <w:rsid w:val="00E012A1"/>
    <w:rsid w:val="00E40362"/>
    <w:rsid w:val="00E71770"/>
    <w:rsid w:val="00E76BB1"/>
    <w:rsid w:val="00EC389D"/>
    <w:rsid w:val="00EC3B24"/>
    <w:rsid w:val="00ED323E"/>
    <w:rsid w:val="00ED3883"/>
    <w:rsid w:val="00ED427A"/>
    <w:rsid w:val="00EF504D"/>
    <w:rsid w:val="00F02758"/>
    <w:rsid w:val="00F04DC8"/>
    <w:rsid w:val="00F23B5C"/>
    <w:rsid w:val="00F2542D"/>
    <w:rsid w:val="00F270D0"/>
    <w:rsid w:val="00F31337"/>
    <w:rsid w:val="00F407D7"/>
    <w:rsid w:val="00F41869"/>
    <w:rsid w:val="00F447B5"/>
    <w:rsid w:val="00F47E46"/>
    <w:rsid w:val="00F5374E"/>
    <w:rsid w:val="00F548EB"/>
    <w:rsid w:val="00F5711A"/>
    <w:rsid w:val="00F72ECB"/>
    <w:rsid w:val="00F77A88"/>
    <w:rsid w:val="00F84F53"/>
    <w:rsid w:val="00F9314C"/>
    <w:rsid w:val="00F9745C"/>
    <w:rsid w:val="00FA3D88"/>
    <w:rsid w:val="00FB6FC0"/>
    <w:rsid w:val="00FE0695"/>
    <w:rsid w:val="00FE0E26"/>
    <w:rsid w:val="00FF74E7"/>
  </w:rsids>
  <m:mathPr>
    <m:mathFont m:val="Cambria Math"/>
    <m:brkBin m:val="before"/>
    <m:brkBinSub m:val="--"/>
    <m:smallFrac m:val="0"/>
    <m:dispDef/>
    <m:lMargin m:val="0"/>
    <m:rMargin m:val="0"/>
    <m:defJc m:val="centerGroup"/>
    <m:wrapIndent m:val="1440"/>
    <m:intLim m:val="subSup"/>
    <m:naryLim m:val="undOvr"/>
  </m:mathPr>
  <w:themeFontLang w:val="pt-BR" w:eastAsia="zh-H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ECA93"/>
  <w15:chartTrackingRefBased/>
  <w15:docId w15:val="{EE0E903B-0C7D-4A61-91C6-058DACDA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AB4"/>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B5AB4"/>
    <w:rPr>
      <w:color w:val="0000FF"/>
      <w:u w:val="single"/>
    </w:rPr>
  </w:style>
  <w:style w:type="paragraph" w:styleId="NormalWeb">
    <w:name w:val="Normal (Web)"/>
    <w:basedOn w:val="Normal"/>
    <w:uiPriority w:val="99"/>
    <w:unhideWhenUsed/>
    <w:rsid w:val="00CB5AB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7F64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64D6"/>
  </w:style>
  <w:style w:type="paragraph" w:styleId="Rodap">
    <w:name w:val="footer"/>
    <w:basedOn w:val="Normal"/>
    <w:link w:val="RodapChar"/>
    <w:uiPriority w:val="99"/>
    <w:unhideWhenUsed/>
    <w:rsid w:val="007F64D6"/>
    <w:pPr>
      <w:tabs>
        <w:tab w:val="center" w:pos="4252"/>
        <w:tab w:val="right" w:pos="8504"/>
      </w:tabs>
      <w:spacing w:after="0" w:line="240" w:lineRule="auto"/>
    </w:pPr>
  </w:style>
  <w:style w:type="character" w:customStyle="1" w:styleId="RodapChar">
    <w:name w:val="Rodapé Char"/>
    <w:basedOn w:val="Fontepargpadro"/>
    <w:link w:val="Rodap"/>
    <w:uiPriority w:val="99"/>
    <w:rsid w:val="007F64D6"/>
  </w:style>
  <w:style w:type="paragraph" w:customStyle="1" w:styleId="Default">
    <w:name w:val="Default"/>
    <w:rsid w:val="000C7DEB"/>
    <w:pPr>
      <w:autoSpaceDE w:val="0"/>
      <w:autoSpaceDN w:val="0"/>
      <w:adjustRightInd w:val="0"/>
      <w:spacing w:after="0" w:line="240" w:lineRule="auto"/>
    </w:pPr>
    <w:rPr>
      <w:rFonts w:ascii="Petrobras Sans" w:hAnsi="Petrobras Sans" w:cs="Petrobras Sans"/>
      <w:color w:val="000000"/>
      <w:sz w:val="24"/>
      <w:szCs w:val="24"/>
      <w:lang w:val="pt-BR"/>
    </w:rPr>
  </w:style>
  <w:style w:type="character" w:customStyle="1" w:styleId="eop">
    <w:name w:val="eop"/>
    <w:basedOn w:val="Fontepargpadro"/>
    <w:rsid w:val="00A60F56"/>
  </w:style>
  <w:style w:type="character" w:customStyle="1" w:styleId="normaltextrun">
    <w:name w:val="normaltextrun"/>
    <w:basedOn w:val="Fontepargpadro"/>
    <w:rsid w:val="00A60F56"/>
  </w:style>
  <w:style w:type="character" w:styleId="HiperlinkVisitado">
    <w:name w:val="FollowedHyperlink"/>
    <w:basedOn w:val="Fontepargpadro"/>
    <w:uiPriority w:val="99"/>
    <w:semiHidden/>
    <w:unhideWhenUsed/>
    <w:rsid w:val="007B4727"/>
    <w:rPr>
      <w:color w:val="954F72" w:themeColor="followedHyperlink"/>
      <w:u w:val="single"/>
    </w:rPr>
  </w:style>
  <w:style w:type="paragraph" w:styleId="SemEspaamento">
    <w:name w:val="No Spacing"/>
    <w:uiPriority w:val="1"/>
    <w:qFormat/>
    <w:rsid w:val="00A4634E"/>
    <w:pPr>
      <w:spacing w:after="0" w:line="240" w:lineRule="auto"/>
    </w:pPr>
  </w:style>
  <w:style w:type="paragraph" w:customStyle="1" w:styleId="xmsonormal">
    <w:name w:val="x_msonormal"/>
    <w:basedOn w:val="Normal"/>
    <w:rsid w:val="00A40A0E"/>
    <w:pPr>
      <w:spacing w:before="100" w:beforeAutospacing="1" w:after="100" w:afterAutospacing="1" w:line="240" w:lineRule="auto"/>
    </w:pPr>
    <w:rPr>
      <w:rFonts w:ascii="Times New Roman" w:hAnsi="Times New Roman" w:cs="Times New Roman"/>
      <w:sz w:val="24"/>
      <w:szCs w:val="24"/>
      <w:lang w:val="pt-BR" w:eastAsia="pt-BR"/>
    </w:rPr>
  </w:style>
  <w:style w:type="table" w:styleId="Tabelacomgrade">
    <w:name w:val="Table Grid"/>
    <w:basedOn w:val="Tabelanormal"/>
    <w:uiPriority w:val="39"/>
    <w:rsid w:val="00A40A0E"/>
    <w:pPr>
      <w:spacing w:after="0" w:line="240" w:lineRule="auto"/>
    </w:pPr>
    <w:rPr>
      <w:lang w:val="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25265F"/>
    <w:pPr>
      <w:spacing w:line="259" w:lineRule="auto"/>
      <w:ind w:left="720"/>
      <w:contextualSpacing/>
    </w:pPr>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6588">
      <w:bodyDiv w:val="1"/>
      <w:marLeft w:val="0"/>
      <w:marRight w:val="0"/>
      <w:marTop w:val="0"/>
      <w:marBottom w:val="0"/>
      <w:divBdr>
        <w:top w:val="none" w:sz="0" w:space="0" w:color="auto"/>
        <w:left w:val="none" w:sz="0" w:space="0" w:color="auto"/>
        <w:bottom w:val="none" w:sz="0" w:space="0" w:color="auto"/>
        <w:right w:val="none" w:sz="0" w:space="0" w:color="auto"/>
      </w:divBdr>
    </w:div>
    <w:div w:id="303973422">
      <w:bodyDiv w:val="1"/>
      <w:marLeft w:val="0"/>
      <w:marRight w:val="0"/>
      <w:marTop w:val="0"/>
      <w:marBottom w:val="0"/>
      <w:divBdr>
        <w:top w:val="none" w:sz="0" w:space="0" w:color="auto"/>
        <w:left w:val="none" w:sz="0" w:space="0" w:color="auto"/>
        <w:bottom w:val="none" w:sz="0" w:space="0" w:color="auto"/>
        <w:right w:val="none" w:sz="0" w:space="0" w:color="auto"/>
      </w:divBdr>
    </w:div>
    <w:div w:id="616061936">
      <w:bodyDiv w:val="1"/>
      <w:marLeft w:val="0"/>
      <w:marRight w:val="0"/>
      <w:marTop w:val="0"/>
      <w:marBottom w:val="0"/>
      <w:divBdr>
        <w:top w:val="none" w:sz="0" w:space="0" w:color="auto"/>
        <w:left w:val="none" w:sz="0" w:space="0" w:color="auto"/>
        <w:bottom w:val="none" w:sz="0" w:space="0" w:color="auto"/>
        <w:right w:val="none" w:sz="0" w:space="0" w:color="auto"/>
      </w:divBdr>
    </w:div>
    <w:div w:id="872695638">
      <w:bodyDiv w:val="1"/>
      <w:marLeft w:val="0"/>
      <w:marRight w:val="0"/>
      <w:marTop w:val="0"/>
      <w:marBottom w:val="0"/>
      <w:divBdr>
        <w:top w:val="none" w:sz="0" w:space="0" w:color="auto"/>
        <w:left w:val="none" w:sz="0" w:space="0" w:color="auto"/>
        <w:bottom w:val="none" w:sz="0" w:space="0" w:color="auto"/>
        <w:right w:val="none" w:sz="0" w:space="0" w:color="auto"/>
      </w:divBdr>
    </w:div>
    <w:div w:id="1128279531">
      <w:bodyDiv w:val="1"/>
      <w:marLeft w:val="0"/>
      <w:marRight w:val="0"/>
      <w:marTop w:val="0"/>
      <w:marBottom w:val="0"/>
      <w:divBdr>
        <w:top w:val="none" w:sz="0" w:space="0" w:color="auto"/>
        <w:left w:val="none" w:sz="0" w:space="0" w:color="auto"/>
        <w:bottom w:val="none" w:sz="0" w:space="0" w:color="auto"/>
        <w:right w:val="none" w:sz="0" w:space="0" w:color="auto"/>
      </w:divBdr>
    </w:div>
    <w:div w:id="1228883094">
      <w:bodyDiv w:val="1"/>
      <w:marLeft w:val="0"/>
      <w:marRight w:val="0"/>
      <w:marTop w:val="0"/>
      <w:marBottom w:val="0"/>
      <w:divBdr>
        <w:top w:val="none" w:sz="0" w:space="0" w:color="auto"/>
        <w:left w:val="none" w:sz="0" w:space="0" w:color="auto"/>
        <w:bottom w:val="none" w:sz="0" w:space="0" w:color="auto"/>
        <w:right w:val="none" w:sz="0" w:space="0" w:color="auto"/>
      </w:divBdr>
    </w:div>
    <w:div w:id="1308319152">
      <w:bodyDiv w:val="1"/>
      <w:marLeft w:val="0"/>
      <w:marRight w:val="0"/>
      <w:marTop w:val="0"/>
      <w:marBottom w:val="0"/>
      <w:divBdr>
        <w:top w:val="none" w:sz="0" w:space="0" w:color="auto"/>
        <w:left w:val="none" w:sz="0" w:space="0" w:color="auto"/>
        <w:bottom w:val="none" w:sz="0" w:space="0" w:color="auto"/>
        <w:right w:val="none" w:sz="0" w:space="0" w:color="auto"/>
      </w:divBdr>
    </w:div>
    <w:div w:id="1443300343">
      <w:bodyDiv w:val="1"/>
      <w:marLeft w:val="0"/>
      <w:marRight w:val="0"/>
      <w:marTop w:val="0"/>
      <w:marBottom w:val="0"/>
      <w:divBdr>
        <w:top w:val="none" w:sz="0" w:space="0" w:color="auto"/>
        <w:left w:val="none" w:sz="0" w:space="0" w:color="auto"/>
        <w:bottom w:val="none" w:sz="0" w:space="0" w:color="auto"/>
        <w:right w:val="none" w:sz="0" w:space="0" w:color="auto"/>
      </w:divBdr>
    </w:div>
    <w:div w:id="190225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petrobras.com.br/ir"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6.jpg@01D5DACB.E9E89DD0"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77C495EE35E5540A6FAC44C7B3FD402" ma:contentTypeVersion="13" ma:contentTypeDescription="Crie um novo documento." ma:contentTypeScope="" ma:versionID="4605b4c25267709338ae37ddfa3af3c0">
  <xsd:schema xmlns:xsd="http://www.w3.org/2001/XMLSchema" xmlns:xs="http://www.w3.org/2001/XMLSchema" xmlns:p="http://schemas.microsoft.com/office/2006/metadata/properties" xmlns:ns2="7eb19beb-41a7-4bc9-b1b9-4be84fd6404c" xmlns:ns3="546a6912-f7e1-4fb4-88b9-f14ff26514f5" targetNamespace="http://schemas.microsoft.com/office/2006/metadata/properties" ma:root="true" ma:fieldsID="468f4a4495982c180ce9faffca0c8bad" ns2:_="" ns3:_="">
    <xsd:import namespace="7eb19beb-41a7-4bc9-b1b9-4be84fd6404c"/>
    <xsd:import namespace="546a6912-f7e1-4fb4-88b9-f14ff26514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19beb-41a7-4bc9-b1b9-4be84fd640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a6912-f7e1-4fb4-88b9-f14ff26514f5"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AD69C3-5B23-4D66-A7B4-943953ECA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19beb-41a7-4bc9-b1b9-4be84fd6404c"/>
    <ds:schemaRef ds:uri="546a6912-f7e1-4fb4-88b9-f14ff2651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4465B4-FA3C-4AD6-9A8D-9CA9099E84AB}">
  <ds:schemaRefs>
    <ds:schemaRef ds:uri="http://schemas.microsoft.com/sharepoint/v3/contenttype/forms"/>
  </ds:schemaRefs>
</ds:datastoreItem>
</file>

<file path=customXml/itemProps3.xml><?xml version="1.0" encoding="utf-8"?>
<ds:datastoreItem xmlns:ds="http://schemas.openxmlformats.org/officeDocument/2006/customXml" ds:itemID="{E0358D35-1988-4AEF-B279-35546CED369B}">
  <ds:schemaRefs>
    <ds:schemaRef ds:uri="http://purl.org/dc/dcmitype/"/>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7eb19beb-41a7-4bc9-b1b9-4be84fd6404c"/>
    <ds:schemaRef ds:uri="http://schemas.microsoft.com/office/infopath/2007/PartnerControls"/>
    <ds:schemaRef ds:uri="http://schemas.openxmlformats.org/package/2006/metadata/core-properties"/>
    <ds:schemaRef ds:uri="546a6912-f7e1-4fb4-88b9-f14ff26514f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620</Words>
  <Characters>3348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Gomide Varela</dc:creator>
  <cp:keywords/>
  <dc:description/>
  <cp:lastModifiedBy>Julieanne Guimarães de Oliveira - PrestServ</cp:lastModifiedBy>
  <cp:revision>3</cp:revision>
  <cp:lastPrinted>2021-12-16T01:27:00Z</cp:lastPrinted>
  <dcterms:created xsi:type="dcterms:W3CDTF">2022-01-13T21:10:00Z</dcterms:created>
  <dcterms:modified xsi:type="dcterms:W3CDTF">2022-01-13T22:20:00Z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0x010100C77C495EE35E5540A6FAC44C7B3FD402</vt:lpwstr>
  </property>
</Properties>
</file>